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169B9" w14:textId="7D1C2BBA" w:rsidR="00C6554A" w:rsidRPr="008B5277" w:rsidRDefault="00C6554A" w:rsidP="00C6554A">
      <w:pPr>
        <w:pStyle w:val="Photo"/>
      </w:pPr>
      <w:bookmarkStart w:id="0" w:name="_Toc321147149"/>
      <w:bookmarkStart w:id="1" w:name="_Toc318188227"/>
      <w:bookmarkStart w:id="2" w:name="_Toc318188327"/>
      <w:bookmarkStart w:id="3" w:name="_Toc318189312"/>
      <w:bookmarkStart w:id="4" w:name="_Toc321147011"/>
    </w:p>
    <w:bookmarkEnd w:id="0"/>
    <w:bookmarkEnd w:id="1"/>
    <w:bookmarkEnd w:id="2"/>
    <w:bookmarkEnd w:id="3"/>
    <w:bookmarkEnd w:id="4"/>
    <w:p w14:paraId="025BDAF9" w14:textId="77777777" w:rsidR="007B0BB9" w:rsidRDefault="007B0BB9" w:rsidP="00C6554A">
      <w:pPr>
        <w:pStyle w:val="Title"/>
      </w:pPr>
    </w:p>
    <w:p w14:paraId="3A1A1546" w14:textId="77777777" w:rsidR="007B0BB9" w:rsidRDefault="007B0BB9" w:rsidP="00C6554A">
      <w:pPr>
        <w:pStyle w:val="Title"/>
      </w:pPr>
    </w:p>
    <w:p w14:paraId="7326EFDE" w14:textId="77777777" w:rsidR="007B0BB9" w:rsidRDefault="007B0BB9" w:rsidP="00C6554A">
      <w:pPr>
        <w:pStyle w:val="Title"/>
      </w:pPr>
    </w:p>
    <w:p w14:paraId="6611E85F" w14:textId="15AEEF81" w:rsidR="00C6554A" w:rsidRDefault="007B0BB9" w:rsidP="00C6554A">
      <w:pPr>
        <w:pStyle w:val="Title"/>
      </w:pPr>
      <w:r w:rsidRPr="007B0BB9">
        <w:t>ACCT11059 Accounting, Learning &amp; Online Communication</w:t>
      </w:r>
    </w:p>
    <w:p w14:paraId="580C829D" w14:textId="30E63B7C" w:rsidR="00C6554A" w:rsidRPr="001972F5" w:rsidRDefault="007B0BB9" w:rsidP="00C6554A">
      <w:pPr>
        <w:pStyle w:val="Subtitle"/>
        <w:rPr>
          <w:color w:val="auto"/>
        </w:rPr>
      </w:pPr>
      <w:r w:rsidRPr="001972F5">
        <w:rPr>
          <w:color w:val="auto"/>
        </w:rPr>
        <w:t>ASS#</w:t>
      </w:r>
      <w:r w:rsidR="006F3141" w:rsidRPr="001972F5">
        <w:rPr>
          <w:color w:val="auto"/>
        </w:rPr>
        <w:t>2</w:t>
      </w:r>
    </w:p>
    <w:p w14:paraId="5196D61E" w14:textId="77777777" w:rsidR="007B0BB9" w:rsidRPr="001972F5" w:rsidRDefault="007B0BB9" w:rsidP="007B0BB9">
      <w:pPr>
        <w:pStyle w:val="ContactInfo"/>
        <w:rPr>
          <w:color w:val="auto"/>
        </w:rPr>
      </w:pPr>
      <w:r w:rsidRPr="001972F5">
        <w:rPr>
          <w:color w:val="auto"/>
        </w:rPr>
        <w:t>Hayden Anderson</w:t>
      </w:r>
      <w:r w:rsidR="00C6554A" w:rsidRPr="001972F5">
        <w:rPr>
          <w:color w:val="auto"/>
        </w:rPr>
        <w:t xml:space="preserve"> | </w:t>
      </w:r>
      <w:r w:rsidRPr="001972F5">
        <w:rPr>
          <w:color w:val="auto"/>
        </w:rPr>
        <w:t>S0090574</w:t>
      </w:r>
      <w:r w:rsidR="00C6554A" w:rsidRPr="001972F5">
        <w:rPr>
          <w:color w:val="auto"/>
        </w:rPr>
        <w:t xml:space="preserve"> |</w:t>
      </w:r>
      <w:r w:rsidRPr="001972F5">
        <w:rPr>
          <w:color w:val="auto"/>
        </w:rPr>
        <w:t>CQUniversity</w:t>
      </w:r>
    </w:p>
    <w:p w14:paraId="72FBB5C5" w14:textId="6877A8E2" w:rsidR="00C6554A" w:rsidRDefault="00C6554A" w:rsidP="007B0BB9">
      <w:pPr>
        <w:pStyle w:val="ContactInfo"/>
      </w:pPr>
      <w:r>
        <w:br w:type="page"/>
      </w:r>
    </w:p>
    <w:p w14:paraId="1F34882D" w14:textId="07D8B4BA" w:rsidR="007B0BB9" w:rsidRDefault="007B0BB9" w:rsidP="00BA4C66">
      <w:pPr>
        <w:pStyle w:val="Heading1"/>
      </w:pPr>
      <w:r>
        <w:lastRenderedPageBreak/>
        <w:t xml:space="preserve">Step </w:t>
      </w:r>
      <w:r w:rsidR="009C4529">
        <w:t>1</w:t>
      </w:r>
      <w:r>
        <w:t xml:space="preserve">: </w:t>
      </w:r>
      <w:r w:rsidR="00875E98">
        <w:t>Chapter 4 Reflection</w:t>
      </w:r>
    </w:p>
    <w:p w14:paraId="1F99EE22" w14:textId="55A0512A" w:rsidR="00875E98" w:rsidRPr="00281DCC" w:rsidRDefault="00875E98" w:rsidP="00875E98">
      <w:pPr>
        <w:rPr>
          <w:color w:val="auto"/>
        </w:rPr>
      </w:pPr>
      <w:r w:rsidRPr="00281DCC">
        <w:rPr>
          <w:color w:val="auto"/>
        </w:rPr>
        <w:t xml:space="preserve">One thing I have noticed about Martins chapters is how much he references </w:t>
      </w:r>
      <w:r w:rsidR="000B4636" w:rsidRPr="00281DCC">
        <w:rPr>
          <w:color w:val="auto"/>
        </w:rPr>
        <w:t>real life examples. Whether it is a book or an author’s quote or perhaps like in the opening lines of chapter four the Sydney Fish Markets. This is a fantastic writing style which really enables the reader to link the writings to personal experience. In this case chapter four will always be the Sydney Fish Market chapter, a place I frequented rather often during my eight years of residency in Sydney.</w:t>
      </w:r>
    </w:p>
    <w:p w14:paraId="4A7ED9D2" w14:textId="5F8F8DAB" w:rsidR="000B4636" w:rsidRPr="00281DCC" w:rsidRDefault="000B4636" w:rsidP="00875E98">
      <w:pPr>
        <w:rPr>
          <w:color w:val="auto"/>
        </w:rPr>
      </w:pPr>
      <w:r w:rsidRPr="00281DCC">
        <w:rPr>
          <w:color w:val="auto"/>
        </w:rPr>
        <w:t xml:space="preserve">Opening the chapter Martin discusses the relevant frameworks we can use to analyze a firm’s economic realities. This is extremely relevant especially when it comes to becoming an equity investor; the goal of which is to place value on potential future value. As martin has discussed, the ability to predict the future can ensure you don’t end up with all your money tied up in a bucket of rotting fish. </w:t>
      </w:r>
    </w:p>
    <w:p w14:paraId="1BA0EB53" w14:textId="4B1AF066" w:rsidR="00C252F0" w:rsidRPr="00281DCC" w:rsidRDefault="000B4636" w:rsidP="00875E98">
      <w:pPr>
        <w:rPr>
          <w:color w:val="auto"/>
        </w:rPr>
      </w:pPr>
      <w:r w:rsidRPr="00281DCC">
        <w:rPr>
          <w:color w:val="auto"/>
        </w:rPr>
        <w:t xml:space="preserve">So how do we do this? Well, there are two “frameworks” used to enable equity investors the ability to analyze a firm’s economic realities. These are described as the discounted cash flow (DCF) and economic profit frameworks. </w:t>
      </w:r>
      <w:r w:rsidR="00C252F0" w:rsidRPr="00281DCC">
        <w:rPr>
          <w:color w:val="auto"/>
        </w:rPr>
        <w:t xml:space="preserve">Secondly the process of “restating” a company’s financials in order to “identify the key accounting drivers of economic profit and cash flow”. The video link about DCF is an extremely great opening to the DCF framework and a significant value add prior to reading the rest of the chapter. </w:t>
      </w:r>
    </w:p>
    <w:p w14:paraId="63755D47" w14:textId="30661A5B" w:rsidR="00C252F0" w:rsidRDefault="00C252F0" w:rsidP="00875E98">
      <w:pPr>
        <w:rPr>
          <w:rStyle w:val="Hyperlink"/>
        </w:rPr>
      </w:pPr>
      <w:r w:rsidRPr="00281DCC">
        <w:rPr>
          <w:color w:val="auto"/>
        </w:rPr>
        <w:t xml:space="preserve">Well worth the watch - </w:t>
      </w:r>
      <w:hyperlink r:id="rId7" w:history="1">
        <w:r w:rsidRPr="00567F28">
          <w:rPr>
            <w:rStyle w:val="Hyperlink"/>
          </w:rPr>
          <w:t>https://youtu.be/Ja8vu_leDio</w:t>
        </w:r>
      </w:hyperlink>
    </w:p>
    <w:p w14:paraId="580DDF3D" w14:textId="77777777" w:rsidR="00165F81" w:rsidRDefault="00165F81" w:rsidP="00875E98"/>
    <w:p w14:paraId="01380E4B" w14:textId="77777777" w:rsidR="009E50BF" w:rsidRDefault="009E50BF" w:rsidP="000E766F">
      <w:pPr>
        <w:pStyle w:val="Heading3"/>
      </w:pPr>
      <w:r>
        <w:t xml:space="preserve">4.1 </w:t>
      </w:r>
      <w:r w:rsidR="00F37FE2" w:rsidRPr="001710F1">
        <w:t xml:space="preserve">How do firms add value? </w:t>
      </w:r>
    </w:p>
    <w:p w14:paraId="57A7D9B2" w14:textId="44580EAE" w:rsidR="00C252F0" w:rsidRPr="001710F1" w:rsidRDefault="00F37FE2" w:rsidP="00875E98">
      <w:pPr>
        <w:rPr>
          <w:color w:val="auto"/>
        </w:rPr>
      </w:pPr>
      <w:r w:rsidRPr="001710F1">
        <w:rPr>
          <w:color w:val="auto"/>
        </w:rPr>
        <w:t xml:space="preserve">This is where we start out with Martin discussing </w:t>
      </w:r>
      <w:r w:rsidR="00DB0878" w:rsidRPr="001710F1">
        <w:rPr>
          <w:color w:val="auto"/>
        </w:rPr>
        <w:t>the concept of free cash flow (FCF). The transfer of value internally within a firm suggest</w:t>
      </w:r>
      <w:r w:rsidR="003E25B9" w:rsidRPr="001710F1">
        <w:rPr>
          <w:color w:val="auto"/>
        </w:rPr>
        <w:t>s</w:t>
      </w:r>
      <w:r w:rsidR="00DB0878" w:rsidRPr="001710F1">
        <w:rPr>
          <w:color w:val="auto"/>
        </w:rPr>
        <w:t xml:space="preserve"> that a company such as mine (AIA) may decide to take the cash received though its operations in order to invest in its operating assets. This would allow AIA to grow its ability to have cash flow through operations</w:t>
      </w:r>
      <w:r w:rsidR="006956A5" w:rsidRPr="001710F1">
        <w:rPr>
          <w:color w:val="auto"/>
        </w:rPr>
        <w:t>,</w:t>
      </w:r>
      <w:r w:rsidR="00DB0878" w:rsidRPr="001710F1">
        <w:rPr>
          <w:color w:val="auto"/>
        </w:rPr>
        <w:t xml:space="preserve"> presuming the investment in assets lead to such an outcome.</w:t>
      </w:r>
    </w:p>
    <w:p w14:paraId="667CF9B8" w14:textId="7B749386" w:rsidR="006956A5" w:rsidRPr="001710F1" w:rsidRDefault="006956A5" w:rsidP="00875E98">
      <w:pPr>
        <w:rPr>
          <w:color w:val="auto"/>
        </w:rPr>
      </w:pPr>
      <w:r w:rsidRPr="001710F1">
        <w:rPr>
          <w:color w:val="auto"/>
        </w:rPr>
        <w:t xml:space="preserve">And so, the acronyms begin. Because FCF =C-I we can express the idea of internal investment in capital outlays or change in net operating assets as ΔNOA. Furthermore, because net operating income equals OI, FCF = OI – </w:t>
      </w:r>
      <w:r w:rsidRPr="001710F1">
        <w:rPr>
          <w:color w:val="auto"/>
        </w:rPr>
        <w:t>ΔNOA</w:t>
      </w:r>
      <w:r w:rsidRPr="001710F1">
        <w:rPr>
          <w:color w:val="auto"/>
        </w:rPr>
        <w:t>. Martin discusses the idea that we need to ensure we look deeper into the numbers to ensure we see the whole picture.</w:t>
      </w:r>
    </w:p>
    <w:p w14:paraId="424C6BFF" w14:textId="7AD1E33A" w:rsidR="006956A5" w:rsidRPr="001710F1" w:rsidRDefault="006956A5" w:rsidP="00875E98">
      <w:pPr>
        <w:rPr>
          <w:color w:val="auto"/>
        </w:rPr>
      </w:pPr>
      <w:r w:rsidRPr="001710F1">
        <w:rPr>
          <w:color w:val="auto"/>
        </w:rPr>
        <w:t xml:space="preserve">This is because two firms may generate </w:t>
      </w:r>
      <w:r w:rsidR="005A70A3" w:rsidRPr="001710F1">
        <w:rPr>
          <w:color w:val="auto"/>
        </w:rPr>
        <w:t>identical</w:t>
      </w:r>
      <w:r w:rsidRPr="001710F1">
        <w:rPr>
          <w:color w:val="auto"/>
        </w:rPr>
        <w:t xml:space="preserve"> </w:t>
      </w:r>
      <w:r w:rsidR="005A70A3" w:rsidRPr="001710F1">
        <w:rPr>
          <w:color w:val="auto"/>
        </w:rPr>
        <w:t>financial outcomes but if one requires significant more capital investment to achieve this return that the FCF is reduced.</w:t>
      </w:r>
    </w:p>
    <w:p w14:paraId="30BC330C" w14:textId="426B5306" w:rsidR="005A70A3" w:rsidRPr="001710F1" w:rsidRDefault="000B4A23" w:rsidP="00875E98">
      <w:pPr>
        <w:rPr>
          <w:color w:val="auto"/>
        </w:rPr>
      </w:pPr>
      <w:r w:rsidRPr="001710F1">
        <w:rPr>
          <w:color w:val="auto"/>
        </w:rPr>
        <w:t>Economic Profit…strap yourself in. Economic profit = (RNOA-cost of capital) x NOA.</w:t>
      </w:r>
    </w:p>
    <w:p w14:paraId="2A5CDC88" w14:textId="2FB61311" w:rsidR="000B4A23" w:rsidRPr="001710F1" w:rsidRDefault="000B4A23" w:rsidP="00875E98">
      <w:pPr>
        <w:rPr>
          <w:color w:val="auto"/>
        </w:rPr>
      </w:pPr>
      <w:r w:rsidRPr="001710F1">
        <w:rPr>
          <w:color w:val="auto"/>
        </w:rPr>
        <w:lastRenderedPageBreak/>
        <w:t xml:space="preserve">To enable us to measure the true financial earnings we need to understand RNOA – return on net operating assets. To find the RNOA we need to divide OI by NOA. That is, we take the operating income after tax and divide it by the net operating assets. </w:t>
      </w:r>
    </w:p>
    <w:p w14:paraId="22BBEC92" w14:textId="25DBAE6C" w:rsidR="000B4A23" w:rsidRPr="001710F1" w:rsidRDefault="000B4A23" w:rsidP="00875E98">
      <w:pPr>
        <w:rPr>
          <w:color w:val="auto"/>
        </w:rPr>
      </w:pPr>
      <w:r w:rsidRPr="001710F1">
        <w:rPr>
          <w:color w:val="auto"/>
        </w:rPr>
        <w:t>RNOA = OI/NOA.</w:t>
      </w:r>
    </w:p>
    <w:p w14:paraId="77BF34BB" w14:textId="15E8375B" w:rsidR="000B4A23" w:rsidRPr="001710F1" w:rsidRDefault="000B4A23" w:rsidP="00875E98">
      <w:pPr>
        <w:rPr>
          <w:color w:val="auto"/>
        </w:rPr>
      </w:pPr>
      <w:r w:rsidRPr="001710F1">
        <w:rPr>
          <w:color w:val="auto"/>
        </w:rPr>
        <w:t>So as an exercise lets do this for AIA</w:t>
      </w:r>
      <w:r w:rsidR="00D61F38" w:rsidRPr="001710F1">
        <w:rPr>
          <w:color w:val="auto"/>
        </w:rPr>
        <w:t xml:space="preserve">, because the acronyms are simply enough to break down but how to you find them within a company’s financial statements. This section had me extremely confused. Do you take the </w:t>
      </w:r>
      <w:r w:rsidR="00B12E97" w:rsidRPr="001710F1">
        <w:rPr>
          <w:color w:val="auto"/>
        </w:rPr>
        <w:t>Profit</w:t>
      </w:r>
      <w:r w:rsidR="00D61F38" w:rsidRPr="001710F1">
        <w:rPr>
          <w:color w:val="auto"/>
        </w:rPr>
        <w:t xml:space="preserve"> for AIA which is this case is $6</w:t>
      </w:r>
      <w:r w:rsidR="00B12E97" w:rsidRPr="001710F1">
        <w:rPr>
          <w:color w:val="auto"/>
        </w:rPr>
        <w:t>50.1</w:t>
      </w:r>
      <w:r w:rsidR="00D61F38" w:rsidRPr="001710F1">
        <w:rPr>
          <w:color w:val="auto"/>
        </w:rPr>
        <w:t>M or do you take the Total comprehensive income net of tax? I have a feeling it should only be the income generated through operations and not items such as cash flow hedges etc. I’m rather confused. Perhaps it will become clearer as we progress.</w:t>
      </w:r>
    </w:p>
    <w:p w14:paraId="587FF9D0" w14:textId="0DFBC900" w:rsidR="00D61F38" w:rsidRPr="001710F1" w:rsidRDefault="00D61F38" w:rsidP="00875E98">
      <w:pPr>
        <w:rPr>
          <w:color w:val="auto"/>
        </w:rPr>
      </w:pPr>
      <w:r w:rsidRPr="001710F1">
        <w:rPr>
          <w:color w:val="auto"/>
        </w:rPr>
        <w:t>These figures are across FY18for AIA.</w:t>
      </w:r>
    </w:p>
    <w:p w14:paraId="338F4585" w14:textId="4E734141" w:rsidR="00D61F38" w:rsidRPr="001710F1" w:rsidRDefault="00D61F38" w:rsidP="00875E98">
      <w:pPr>
        <w:rPr>
          <w:color w:val="auto"/>
        </w:rPr>
      </w:pPr>
      <w:r w:rsidRPr="001710F1">
        <w:rPr>
          <w:color w:val="auto"/>
        </w:rPr>
        <w:t>OI = $6</w:t>
      </w:r>
      <w:r w:rsidR="00122494" w:rsidRPr="001710F1">
        <w:rPr>
          <w:color w:val="auto"/>
        </w:rPr>
        <w:t>50,100,000</w:t>
      </w:r>
    </w:p>
    <w:p w14:paraId="24351A60" w14:textId="5E3E60AD" w:rsidR="00D61F38" w:rsidRPr="001710F1" w:rsidRDefault="00D61F38" w:rsidP="00875E98">
      <w:pPr>
        <w:rPr>
          <w:color w:val="auto"/>
        </w:rPr>
      </w:pPr>
      <w:r w:rsidRPr="001710F1">
        <w:rPr>
          <w:color w:val="auto"/>
        </w:rPr>
        <w:t xml:space="preserve">NOA = </w:t>
      </w:r>
      <w:r w:rsidR="00315829" w:rsidRPr="001710F1">
        <w:rPr>
          <w:color w:val="auto"/>
        </w:rPr>
        <w:t>$</w:t>
      </w:r>
      <w:r w:rsidR="00122494" w:rsidRPr="001710F1">
        <w:rPr>
          <w:color w:val="auto"/>
        </w:rPr>
        <w:t>8,196,800,000</w:t>
      </w:r>
    </w:p>
    <w:p w14:paraId="1F705893" w14:textId="07B78417" w:rsidR="000B4A23" w:rsidRPr="001710F1" w:rsidRDefault="005C17DE" w:rsidP="00875E98">
      <w:pPr>
        <w:rPr>
          <w:color w:val="auto"/>
        </w:rPr>
      </w:pPr>
      <w:r w:rsidRPr="001710F1">
        <w:rPr>
          <w:color w:val="auto"/>
        </w:rPr>
        <w:t xml:space="preserve">Therefore </w:t>
      </w:r>
      <w:r w:rsidR="00315829" w:rsidRPr="001710F1">
        <w:rPr>
          <w:color w:val="auto"/>
        </w:rPr>
        <w:t>RNOA = 0.079</w:t>
      </w:r>
    </w:p>
    <w:p w14:paraId="428B08FD" w14:textId="71B8DBEC" w:rsidR="00315829" w:rsidRPr="001710F1" w:rsidRDefault="00315829" w:rsidP="00875E98">
      <w:pPr>
        <w:rPr>
          <w:color w:val="auto"/>
        </w:rPr>
      </w:pPr>
      <w:r w:rsidRPr="001710F1">
        <w:rPr>
          <w:color w:val="auto"/>
        </w:rPr>
        <w:t>I have a sinking feeling I’m wrong here and think that when as this study guide continues it may shed more light.</w:t>
      </w:r>
    </w:p>
    <w:p w14:paraId="0DA63642" w14:textId="40193947" w:rsidR="00315829" w:rsidRPr="001710F1" w:rsidRDefault="00315829" w:rsidP="00875E98">
      <w:pPr>
        <w:rPr>
          <w:color w:val="auto"/>
        </w:rPr>
      </w:pPr>
      <w:r w:rsidRPr="001710F1">
        <w:rPr>
          <w:color w:val="auto"/>
        </w:rPr>
        <w:t>Capital expenditure for AIA was $405,200,000, therefore we should be able to work out the economic profit.</w:t>
      </w:r>
    </w:p>
    <w:p w14:paraId="437939D2" w14:textId="3AE5C317" w:rsidR="00944690" w:rsidRPr="001710F1" w:rsidRDefault="00944690" w:rsidP="00875E98">
      <w:pPr>
        <w:rPr>
          <w:color w:val="auto"/>
        </w:rPr>
      </w:pPr>
      <w:r w:rsidRPr="001710F1">
        <w:rPr>
          <w:color w:val="auto"/>
        </w:rPr>
        <w:t>(0.079-$405,200,000) x $8,196,800,000</w:t>
      </w:r>
    </w:p>
    <w:p w14:paraId="6CEF9686" w14:textId="100BB890" w:rsidR="00944690" w:rsidRDefault="00944690" w:rsidP="00875E98">
      <w:pPr>
        <w:rPr>
          <w:color w:val="auto"/>
        </w:rPr>
      </w:pPr>
      <w:r w:rsidRPr="001710F1">
        <w:rPr>
          <w:color w:val="auto"/>
        </w:rPr>
        <w:t>Economic Profit = $3,321,343 – I have no idea if this it right.</w:t>
      </w:r>
    </w:p>
    <w:p w14:paraId="2CB41E5E" w14:textId="77777777" w:rsidR="00165F81" w:rsidRPr="001710F1" w:rsidRDefault="00165F81" w:rsidP="00875E98">
      <w:pPr>
        <w:rPr>
          <w:color w:val="auto"/>
        </w:rPr>
      </w:pPr>
    </w:p>
    <w:p w14:paraId="72C2993B" w14:textId="39AE74AD" w:rsidR="00944690" w:rsidRPr="001710F1" w:rsidRDefault="009E50BF" w:rsidP="00165F81">
      <w:pPr>
        <w:pStyle w:val="Heading3"/>
      </w:pPr>
      <w:r>
        <w:t xml:space="preserve">4.2 </w:t>
      </w:r>
      <w:r w:rsidRPr="001710F1">
        <w:t>Operating and Financial activities</w:t>
      </w:r>
    </w:p>
    <w:p w14:paraId="0C003464" w14:textId="15CEA846" w:rsidR="00944690" w:rsidRDefault="00944690" w:rsidP="00875E98">
      <w:pPr>
        <w:rPr>
          <w:color w:val="auto"/>
        </w:rPr>
      </w:pPr>
      <w:r w:rsidRPr="001710F1">
        <w:rPr>
          <w:color w:val="auto"/>
        </w:rPr>
        <w:t xml:space="preserve"> </w:t>
      </w:r>
      <w:r w:rsidR="009E50BF">
        <w:rPr>
          <w:color w:val="auto"/>
        </w:rPr>
        <w:t>A</w:t>
      </w:r>
      <w:r w:rsidRPr="001710F1">
        <w:rPr>
          <w:color w:val="auto"/>
        </w:rPr>
        <w:t>t this point in the reading I have begun to throw serious doubt on my ability to grasp some of these concepts. Luckily there is a nice diagram that helps explain</w:t>
      </w:r>
      <w:r w:rsidR="007A4BB5" w:rsidRPr="001710F1">
        <w:rPr>
          <w:color w:val="auto"/>
        </w:rPr>
        <w:t xml:space="preserve"> how we can view a firm.</w:t>
      </w:r>
    </w:p>
    <w:p w14:paraId="6535C88D" w14:textId="341A31B7" w:rsidR="00165F81" w:rsidRPr="001710F1" w:rsidRDefault="00165F81" w:rsidP="00875E98">
      <w:pPr>
        <w:rPr>
          <w:color w:val="auto"/>
        </w:rPr>
      </w:pPr>
      <w:r w:rsidRPr="001710F1">
        <w:rPr>
          <w:noProof/>
          <w:color w:val="auto"/>
        </w:rPr>
        <w:drawing>
          <wp:anchor distT="0" distB="0" distL="114300" distR="114300" simplePos="0" relativeHeight="251658240" behindDoc="1" locked="0" layoutInCell="1" allowOverlap="1" wp14:anchorId="77F3A627" wp14:editId="6BF1FA5E">
            <wp:simplePos x="0" y="0"/>
            <wp:positionH relativeFrom="margin">
              <wp:align>center</wp:align>
            </wp:positionH>
            <wp:positionV relativeFrom="paragraph">
              <wp:posOffset>-125730</wp:posOffset>
            </wp:positionV>
            <wp:extent cx="4203700" cy="1735455"/>
            <wp:effectExtent l="0" t="0" r="6350" b="0"/>
            <wp:wrapTight wrapText="bothSides">
              <wp:wrapPolygon edited="0">
                <wp:start x="0" y="0"/>
                <wp:lineTo x="0" y="21339"/>
                <wp:lineTo x="21535" y="21339"/>
                <wp:lineTo x="2153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03700" cy="1735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FA0356" w14:textId="748B83DC" w:rsidR="007A4BB5" w:rsidRDefault="007A4BB5" w:rsidP="00875E98"/>
    <w:p w14:paraId="13766DF7" w14:textId="6B1D6FBD" w:rsidR="00315829" w:rsidRPr="001710F1" w:rsidRDefault="007A4BB5" w:rsidP="00875E98">
      <w:pPr>
        <w:rPr>
          <w:color w:val="auto"/>
        </w:rPr>
      </w:pPr>
      <w:r w:rsidRPr="001710F1">
        <w:rPr>
          <w:color w:val="auto"/>
        </w:rPr>
        <w:lastRenderedPageBreak/>
        <w:t>Martin discusses how on the right the NFA or net financial assets of a firm are nonoperational assets. These are where we can see obligations of debt and activities of equity. These interactions involve “net cash flow with equity investors (d) (dividend payments, share issues and share buybacks) and net cash flow with debt investors (F) (net interest payments and the repayment and issue of debt).”</w:t>
      </w:r>
    </w:p>
    <w:p w14:paraId="55960FA1" w14:textId="4E022087" w:rsidR="00267A41" w:rsidRDefault="00E47915" w:rsidP="00267A41">
      <w:pPr>
        <w:rPr>
          <w:color w:val="auto"/>
        </w:rPr>
      </w:pPr>
      <w:r w:rsidRPr="001710F1">
        <w:rPr>
          <w:color w:val="auto"/>
        </w:rPr>
        <w:t xml:space="preserve">The image also portrays the various cycles of financial operations with the </w:t>
      </w:r>
      <w:r w:rsidR="00267A41" w:rsidRPr="001710F1">
        <w:rPr>
          <w:color w:val="auto"/>
        </w:rPr>
        <w:t>Net operating assets (NOA</w:t>
      </w:r>
      <w:r w:rsidRPr="001710F1">
        <w:rPr>
          <w:color w:val="auto"/>
        </w:rPr>
        <w:t>)</w:t>
      </w:r>
      <w:r w:rsidR="00267A41" w:rsidRPr="001710F1">
        <w:rPr>
          <w:color w:val="auto"/>
        </w:rPr>
        <w:t xml:space="preserve">. </w:t>
      </w:r>
      <w:r w:rsidRPr="001710F1">
        <w:rPr>
          <w:color w:val="auto"/>
        </w:rPr>
        <w:t xml:space="preserve">The left side depicts </w:t>
      </w:r>
      <w:r w:rsidR="00267A41" w:rsidRPr="001710F1">
        <w:rPr>
          <w:color w:val="auto"/>
        </w:rPr>
        <w:t xml:space="preserve">Net operating assets (NOA) </w:t>
      </w:r>
      <w:r w:rsidRPr="001710F1">
        <w:rPr>
          <w:color w:val="auto"/>
        </w:rPr>
        <w:t>which are assets that produce the outcome of a business. In AIA’s its</w:t>
      </w:r>
      <w:r w:rsidR="00267A41" w:rsidRPr="001710F1">
        <w:rPr>
          <w:color w:val="auto"/>
        </w:rPr>
        <w:t xml:space="preserve"> products and services</w:t>
      </w:r>
      <w:r w:rsidRPr="001710F1">
        <w:rPr>
          <w:color w:val="auto"/>
        </w:rPr>
        <w:t xml:space="preserve"> across their various </w:t>
      </w:r>
      <w:r w:rsidR="00267A41" w:rsidRPr="001710F1">
        <w:rPr>
          <w:color w:val="auto"/>
        </w:rPr>
        <w:t>markets</w:t>
      </w:r>
      <w:r w:rsidRPr="001710F1">
        <w:rPr>
          <w:color w:val="auto"/>
        </w:rPr>
        <w:t xml:space="preserve">. These include airfield operations, retail precincts and hotels etc. The NOA produces AIA’s </w:t>
      </w:r>
      <w:r w:rsidR="00267A41" w:rsidRPr="001710F1">
        <w:rPr>
          <w:color w:val="auto"/>
        </w:rPr>
        <w:t>Operating revenue (OR)</w:t>
      </w:r>
      <w:r w:rsidRPr="001710F1">
        <w:rPr>
          <w:color w:val="auto"/>
        </w:rPr>
        <w:t xml:space="preserve"> and in turn generate cash flow less investment in capital. The operating expenses (OE) are derived from the need for AIA to produce and funds the various services that generate the OR. Therefore, the variance from revenue and expenses across the operation develops the income of AIAs operation.</w:t>
      </w:r>
    </w:p>
    <w:p w14:paraId="42A6B21C" w14:textId="77777777" w:rsidR="00165F81" w:rsidRPr="001710F1" w:rsidRDefault="00165F81" w:rsidP="00267A41">
      <w:pPr>
        <w:rPr>
          <w:color w:val="auto"/>
        </w:rPr>
      </w:pPr>
    </w:p>
    <w:p w14:paraId="62DFB274" w14:textId="77777777" w:rsidR="009E50BF" w:rsidRDefault="009E50BF" w:rsidP="000E766F">
      <w:pPr>
        <w:pStyle w:val="Heading3"/>
      </w:pPr>
      <w:r>
        <w:t>4.3 Restating</w:t>
      </w:r>
    </w:p>
    <w:p w14:paraId="384C6110" w14:textId="3ACDFDA8" w:rsidR="00315829" w:rsidRPr="000E766F" w:rsidRDefault="00771F25" w:rsidP="00875E98">
      <w:pPr>
        <w:rPr>
          <w:color w:val="auto"/>
        </w:rPr>
      </w:pPr>
      <w:r w:rsidRPr="000E766F">
        <w:rPr>
          <w:color w:val="auto"/>
        </w:rPr>
        <w:t xml:space="preserve">The chapter also covers </w:t>
      </w:r>
      <w:r w:rsidR="009E50BF" w:rsidRPr="000E766F">
        <w:rPr>
          <w:color w:val="auto"/>
        </w:rPr>
        <w:t>the various parts of our company spreadsheet which we will re-state. I’m not going to reflect on these “process” too much here because I believe the value will come when I actually undertake the tasks.</w:t>
      </w:r>
    </w:p>
    <w:p w14:paraId="7A6E0413" w14:textId="0B88F6FE" w:rsidR="009E50BF" w:rsidRPr="000E766F" w:rsidRDefault="009E50BF" w:rsidP="00875E98">
      <w:pPr>
        <w:rPr>
          <w:color w:val="auto"/>
        </w:rPr>
      </w:pPr>
      <w:r w:rsidRPr="000E766F">
        <w:rPr>
          <w:color w:val="auto"/>
        </w:rPr>
        <w:t xml:space="preserve">It was really good to read about each step ahead of doing the task, its going to be a tricky process and I headed over to Moodle to ensure Maria’s video guide is still there. I think id be lost without that. </w:t>
      </w:r>
    </w:p>
    <w:p w14:paraId="20782366" w14:textId="18C770C6" w:rsidR="009E50BF" w:rsidRPr="000E766F" w:rsidRDefault="009E50BF" w:rsidP="00875E98">
      <w:pPr>
        <w:rPr>
          <w:color w:val="auto"/>
        </w:rPr>
      </w:pPr>
      <w:r w:rsidRPr="000E766F">
        <w:rPr>
          <w:color w:val="auto"/>
        </w:rPr>
        <w:t>So</w:t>
      </w:r>
      <w:r w:rsidR="00E7500F" w:rsidRPr="000E766F">
        <w:rPr>
          <w:color w:val="auto"/>
        </w:rPr>
        <w:t>me</w:t>
      </w:r>
      <w:r w:rsidRPr="000E766F">
        <w:rPr>
          <w:color w:val="auto"/>
        </w:rPr>
        <w:t xml:space="preserve"> key points I took away</w:t>
      </w:r>
      <w:r w:rsidR="00E7500F" w:rsidRPr="000E766F">
        <w:rPr>
          <w:color w:val="auto"/>
        </w:rPr>
        <w:t>:</w:t>
      </w:r>
    </w:p>
    <w:p w14:paraId="53A0786C" w14:textId="00B36C84" w:rsidR="00E7500F" w:rsidRPr="000E766F" w:rsidRDefault="00E7500F" w:rsidP="00875E98">
      <w:pPr>
        <w:rPr>
          <w:color w:val="auto"/>
        </w:rPr>
      </w:pPr>
      <w:r w:rsidRPr="000E766F">
        <w:rPr>
          <w:color w:val="auto"/>
        </w:rPr>
        <w:t>Tax benefit = Net interest expense x tax rate of the firm. A good idea will be to have an in-depth look across AIA’s tax. In this case it looks like</w:t>
      </w:r>
    </w:p>
    <w:p w14:paraId="7E56B9F9" w14:textId="1DDFE7C7" w:rsidR="00E7500F" w:rsidRPr="000E766F" w:rsidRDefault="00E7500F" w:rsidP="00875E98">
      <w:pPr>
        <w:rPr>
          <w:color w:val="auto"/>
        </w:rPr>
      </w:pPr>
      <w:r w:rsidRPr="000E766F">
        <w:rPr>
          <w:color w:val="auto"/>
        </w:rPr>
        <w:t>Tax benefit = 77.2M-</w:t>
      </w:r>
      <w:r w:rsidR="000E766F" w:rsidRPr="000E766F">
        <w:rPr>
          <w:color w:val="auto"/>
        </w:rPr>
        <w:t>2.2M x 28%</w:t>
      </w:r>
    </w:p>
    <w:p w14:paraId="31CB7FC1" w14:textId="1C313BDD" w:rsidR="000E766F" w:rsidRPr="000E766F" w:rsidRDefault="000E766F" w:rsidP="00875E98">
      <w:pPr>
        <w:rPr>
          <w:color w:val="auto"/>
        </w:rPr>
      </w:pPr>
      <w:r w:rsidRPr="000E766F">
        <w:rPr>
          <w:color w:val="auto"/>
        </w:rPr>
        <w:t>Therefore, Tax benefit = $75,000,000 x .28</w:t>
      </w:r>
    </w:p>
    <w:p w14:paraId="64C01A0D" w14:textId="64E863FC" w:rsidR="000E766F" w:rsidRPr="000E766F" w:rsidRDefault="000E766F" w:rsidP="00875E98">
      <w:pPr>
        <w:rPr>
          <w:color w:val="auto"/>
        </w:rPr>
      </w:pPr>
      <w:r w:rsidRPr="000E766F">
        <w:rPr>
          <w:color w:val="auto"/>
        </w:rPr>
        <w:t>Tax benefit = $21M</w:t>
      </w:r>
      <w:bookmarkStart w:id="5" w:name="_GoBack"/>
      <w:bookmarkEnd w:id="5"/>
    </w:p>
    <w:p w14:paraId="42509908" w14:textId="77777777" w:rsidR="000E766F" w:rsidRDefault="000E766F" w:rsidP="00875E98"/>
    <w:p w14:paraId="2066BF4A" w14:textId="173E59A7" w:rsidR="00315829" w:rsidRDefault="009E50BF" w:rsidP="00165F81">
      <w:pPr>
        <w:pStyle w:val="Heading3"/>
      </w:pPr>
      <w:r>
        <w:t xml:space="preserve">4.4 </w:t>
      </w:r>
      <w:r w:rsidR="000E766F">
        <w:t>Profitability</w:t>
      </w:r>
      <w:r>
        <w:t xml:space="preserve"> and efficiency</w:t>
      </w:r>
    </w:p>
    <w:p w14:paraId="476FB3D6" w14:textId="0C0285F0" w:rsidR="00315829" w:rsidRPr="00095CAA" w:rsidRDefault="000E766F" w:rsidP="00875E98">
      <w:pPr>
        <w:rPr>
          <w:color w:val="auto"/>
        </w:rPr>
      </w:pPr>
      <w:r w:rsidRPr="00095CAA">
        <w:rPr>
          <w:color w:val="auto"/>
        </w:rPr>
        <w:t>Profit and performance is defined as sales relative to investment. That is to say ask “how much profit AIA makes for every dollar of sales” whilst looking at “how much the sales make relative to each dollar invested.”</w:t>
      </w:r>
    </w:p>
    <w:p w14:paraId="57D8F944" w14:textId="4895A5C5" w:rsidR="000E766F" w:rsidRPr="00095CAA" w:rsidRDefault="000E766F" w:rsidP="00875E98">
      <w:pPr>
        <w:rPr>
          <w:color w:val="auto"/>
        </w:rPr>
      </w:pPr>
      <w:r w:rsidRPr="00095CAA">
        <w:rPr>
          <w:color w:val="auto"/>
        </w:rPr>
        <w:lastRenderedPageBreak/>
        <w:t>We looked at economic profit in the above section and within 4.4 Martin introduces RNOA = PM x ATO.</w:t>
      </w:r>
    </w:p>
    <w:p w14:paraId="2C997316" w14:textId="187499DA" w:rsidR="000E766F" w:rsidRPr="00095CAA" w:rsidRDefault="000E766F" w:rsidP="00875E98">
      <w:pPr>
        <w:rPr>
          <w:color w:val="auto"/>
        </w:rPr>
      </w:pPr>
      <w:r w:rsidRPr="00095CAA">
        <w:rPr>
          <w:color w:val="auto"/>
        </w:rPr>
        <w:t>PM equates to Profit Margin and ATO equates to Asset Turnover.</w:t>
      </w:r>
    </w:p>
    <w:p w14:paraId="564CE6ED" w14:textId="7732312F" w:rsidR="002B1879" w:rsidRPr="00095CAA" w:rsidRDefault="002B1879" w:rsidP="00875E98">
      <w:pPr>
        <w:rPr>
          <w:color w:val="auto"/>
        </w:rPr>
      </w:pPr>
      <w:r w:rsidRPr="00095CAA">
        <w:rPr>
          <w:color w:val="auto"/>
        </w:rPr>
        <w:t xml:space="preserve">So, Profit margin equates to OI divided by sales. Profit margins can vary across business. I was always under the impression many businesses aim for 30% GM I was surprised to read that the average in the US is around 6%. This may be a factor of why many manufacturing industries are moving offshore to increase profits. Furthermore, ATO is measured by dividing sales by net operating assets. </w:t>
      </w:r>
    </w:p>
    <w:p w14:paraId="2FE21E3E" w14:textId="1A48E632" w:rsidR="002B1879" w:rsidRPr="00095CAA" w:rsidRDefault="002B1879" w:rsidP="00875E98">
      <w:pPr>
        <w:rPr>
          <w:color w:val="auto"/>
        </w:rPr>
      </w:pPr>
      <w:r w:rsidRPr="00095CAA">
        <w:rPr>
          <w:color w:val="auto"/>
        </w:rPr>
        <w:t>Overall this chapter has been a real struggle, in hindsight I feel it may have been better to watch Marias videos and have a go a restating my financials first. This way I could have had an in-depth look at the key aspects and then drawn from them much more rapidly where reading this chapter. The chapter has held me in good stead for the coming exercises, however I fear the Easter break may coincide with some loss of knowledge across these readings, perhaps that means I’m not fully understanding the content at this stage.</w:t>
      </w:r>
    </w:p>
    <w:p w14:paraId="6E3CB318" w14:textId="77777777" w:rsidR="000E766F" w:rsidRDefault="000E766F" w:rsidP="00875E98"/>
    <w:p w14:paraId="5BC6CE1B" w14:textId="77777777" w:rsidR="005A70A3" w:rsidRDefault="005A70A3" w:rsidP="00875E98"/>
    <w:p w14:paraId="6227B975" w14:textId="77777777" w:rsidR="006956A5" w:rsidRDefault="006956A5" w:rsidP="00875E98"/>
    <w:p w14:paraId="32EEF722" w14:textId="77777777" w:rsidR="00DB0878" w:rsidRPr="00875E98" w:rsidRDefault="00DB0878" w:rsidP="00875E98"/>
    <w:p w14:paraId="7B01F026" w14:textId="77777777" w:rsidR="006F3141" w:rsidRPr="006F3141" w:rsidRDefault="006F3141" w:rsidP="006F3141"/>
    <w:p w14:paraId="1791C3D5" w14:textId="77777777" w:rsidR="007B0BB9" w:rsidRDefault="007B0BB9"/>
    <w:sectPr w:rsidR="007B0BB9" w:rsidSect="007B0BB9">
      <w:headerReference w:type="default" r:id="rId9"/>
      <w:footerReference w:type="default" r:id="rId10"/>
      <w:headerReference w:type="first" r:id="rId11"/>
      <w:pgSz w:w="12240" w:h="15840"/>
      <w:pgMar w:top="1728" w:right="1800" w:bottom="1440" w:left="180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4B9342" w14:textId="77777777" w:rsidR="007B0BB9" w:rsidRDefault="007B0BB9" w:rsidP="00C6554A">
      <w:pPr>
        <w:spacing w:before="0" w:after="0" w:line="240" w:lineRule="auto"/>
      </w:pPr>
      <w:r>
        <w:separator/>
      </w:r>
    </w:p>
  </w:endnote>
  <w:endnote w:type="continuationSeparator" w:id="0">
    <w:p w14:paraId="68019E22" w14:textId="77777777" w:rsidR="007B0BB9" w:rsidRDefault="007B0BB9"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5557457"/>
      <w:docPartObj>
        <w:docPartGallery w:val="Page Numbers (Bottom of Page)"/>
        <w:docPartUnique/>
      </w:docPartObj>
    </w:sdtPr>
    <w:sdtEndPr>
      <w:rPr>
        <w:color w:val="7F7F7F" w:themeColor="background1" w:themeShade="7F"/>
        <w:spacing w:val="60"/>
      </w:rPr>
    </w:sdtEndPr>
    <w:sdtContent>
      <w:p w14:paraId="282DEF36" w14:textId="52AD7D91" w:rsidR="00BF20EE" w:rsidRDefault="00BF20EE">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D2FDF42" w14:textId="07CE9731" w:rsidR="002163EE" w:rsidRDefault="00BF20EE" w:rsidP="00BF20EE">
    <w:pPr>
      <w:pStyle w:val="Footer"/>
      <w:jc w:val="left"/>
    </w:pPr>
    <w:r>
      <w:t>S0090574 – Hayden anderson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F922F4" w14:textId="77777777" w:rsidR="007B0BB9" w:rsidRDefault="007B0BB9" w:rsidP="00C6554A">
      <w:pPr>
        <w:spacing w:before="0" w:after="0" w:line="240" w:lineRule="auto"/>
      </w:pPr>
      <w:r>
        <w:separator/>
      </w:r>
    </w:p>
  </w:footnote>
  <w:footnote w:type="continuationSeparator" w:id="0">
    <w:p w14:paraId="557C5746" w14:textId="77777777" w:rsidR="007B0BB9" w:rsidRDefault="007B0BB9" w:rsidP="00C6554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B36E4" w14:textId="5C931DBA" w:rsidR="007B0BB9" w:rsidRPr="007B0BB9" w:rsidRDefault="007B0BB9" w:rsidP="007B0BB9">
    <w:pPr>
      <w:pStyle w:val="Header"/>
    </w:pPr>
    <w:r w:rsidRPr="007B0BB9">
      <w:rPr>
        <w:lang w:val="en-NZ"/>
      </w:rPr>
      <w:t>ACCT11059 ACCOUNTING, LEARNING &amp; ONLINE COMMUNICATION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29B16B" w14:textId="15F22422" w:rsidR="007B0BB9" w:rsidRDefault="007B0BB9">
    <w:pPr>
      <w:pStyle w:val="Header"/>
    </w:pPr>
    <w:r>
      <w:t>ACCT11059 Accounting, Learning &amp; Online Communication</w:t>
    </w:r>
  </w:p>
  <w:p w14:paraId="7703D010" w14:textId="77777777" w:rsidR="007B0BB9" w:rsidRDefault="007B0B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1E6224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DA94F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0E4E5B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4188A0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E0C08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9E193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3A069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3C8D00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10" w15:restartNumberingAfterBreak="0">
    <w:nsid w:val="01122B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D483622"/>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47164D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8"/>
  </w:num>
  <w:num w:numId="3">
    <w:abstractNumId w:val="8"/>
  </w:num>
  <w:num w:numId="4">
    <w:abstractNumId w:val="9"/>
  </w:num>
  <w:num w:numId="5">
    <w:abstractNumId w:val="12"/>
  </w:num>
  <w:num w:numId="6">
    <w:abstractNumId w:val="10"/>
  </w:num>
  <w:num w:numId="7">
    <w:abstractNumId w:val="11"/>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BB9"/>
    <w:rsid w:val="00012598"/>
    <w:rsid w:val="00092453"/>
    <w:rsid w:val="00095CAA"/>
    <w:rsid w:val="000B4636"/>
    <w:rsid w:val="000B4A23"/>
    <w:rsid w:val="000E766F"/>
    <w:rsid w:val="000F0ECD"/>
    <w:rsid w:val="00122494"/>
    <w:rsid w:val="00165F81"/>
    <w:rsid w:val="001710F1"/>
    <w:rsid w:val="001972F5"/>
    <w:rsid w:val="00211CC1"/>
    <w:rsid w:val="00213200"/>
    <w:rsid w:val="00217039"/>
    <w:rsid w:val="002554CD"/>
    <w:rsid w:val="00267A41"/>
    <w:rsid w:val="00281DCC"/>
    <w:rsid w:val="00293B83"/>
    <w:rsid w:val="002B1879"/>
    <w:rsid w:val="002B4294"/>
    <w:rsid w:val="002C7263"/>
    <w:rsid w:val="002E38CB"/>
    <w:rsid w:val="00315829"/>
    <w:rsid w:val="00320ED8"/>
    <w:rsid w:val="00333D0D"/>
    <w:rsid w:val="00362542"/>
    <w:rsid w:val="003E25B9"/>
    <w:rsid w:val="004C049F"/>
    <w:rsid w:val="004E4731"/>
    <w:rsid w:val="005000E2"/>
    <w:rsid w:val="005A70A3"/>
    <w:rsid w:val="005C17DE"/>
    <w:rsid w:val="006956A5"/>
    <w:rsid w:val="006A3CE7"/>
    <w:rsid w:val="006B5872"/>
    <w:rsid w:val="006C740D"/>
    <w:rsid w:val="006F3141"/>
    <w:rsid w:val="006F7AB8"/>
    <w:rsid w:val="00771F25"/>
    <w:rsid w:val="007A4BB5"/>
    <w:rsid w:val="007B0BB9"/>
    <w:rsid w:val="00830A66"/>
    <w:rsid w:val="00853C1B"/>
    <w:rsid w:val="00875E98"/>
    <w:rsid w:val="0088670C"/>
    <w:rsid w:val="0088725D"/>
    <w:rsid w:val="00944690"/>
    <w:rsid w:val="009B17BC"/>
    <w:rsid w:val="009C4529"/>
    <w:rsid w:val="009E50BF"/>
    <w:rsid w:val="00AA1092"/>
    <w:rsid w:val="00B12E97"/>
    <w:rsid w:val="00BA4C66"/>
    <w:rsid w:val="00BD38F6"/>
    <w:rsid w:val="00BF20EE"/>
    <w:rsid w:val="00C252F0"/>
    <w:rsid w:val="00C6554A"/>
    <w:rsid w:val="00CF55C7"/>
    <w:rsid w:val="00D61F38"/>
    <w:rsid w:val="00DB0878"/>
    <w:rsid w:val="00E15B8F"/>
    <w:rsid w:val="00E47915"/>
    <w:rsid w:val="00E7500F"/>
    <w:rsid w:val="00EB64F3"/>
    <w:rsid w:val="00ED7C44"/>
    <w:rsid w:val="00F37FE2"/>
    <w:rsid w:val="00F628AF"/>
    <w:rsid w:val="00F83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4316678"/>
  <w15:chartTrackingRefBased/>
  <w15:docId w15:val="{440FC6E4-F271-48DE-AFED-406D80E91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33D0D"/>
  </w:style>
  <w:style w:type="paragraph" w:styleId="Heading1">
    <w:name w:val="heading 1"/>
    <w:basedOn w:val="Normal"/>
    <w:next w:val="Normal"/>
    <w:link w:val="Heading1Char"/>
    <w:uiPriority w:val="9"/>
    <w:qFormat/>
    <w:rsid w:val="00333D0D"/>
    <w:pPr>
      <w:keepNext/>
      <w:keepLines/>
      <w:spacing w:before="600" w:after="60"/>
      <w:contextualSpacing/>
      <w:outlineLvl w:val="0"/>
    </w:pPr>
    <w:rPr>
      <w:rFonts w:asciiTheme="majorHAnsi" w:eastAsiaTheme="majorEastAsia" w:hAnsiTheme="majorHAnsi" w:cstheme="majorBidi"/>
      <w:color w:val="007789" w:themeColor="accent1" w:themeShade="BF"/>
      <w:sz w:val="32"/>
    </w:rPr>
  </w:style>
  <w:style w:type="paragraph" w:styleId="Heading2">
    <w:name w:val="heading 2"/>
    <w:basedOn w:val="Normal"/>
    <w:next w:val="Normal"/>
    <w:link w:val="Heading2Char"/>
    <w:uiPriority w:val="9"/>
    <w:unhideWhenUsed/>
    <w:qFormat/>
    <w:rsid w:val="00333D0D"/>
    <w:pPr>
      <w:keepNext/>
      <w:keepLines/>
      <w:spacing w:before="240" w:after="0"/>
      <w:contextualSpacing/>
      <w:outlineLvl w:val="1"/>
    </w:pPr>
    <w:rPr>
      <w:rFonts w:asciiTheme="majorHAnsi" w:eastAsiaTheme="majorEastAsia" w:hAnsiTheme="majorHAnsi" w:cstheme="majorBidi"/>
      <w:caps/>
      <w:color w:val="007789" w:themeColor="accent1" w:themeShade="BF"/>
      <w:sz w:val="24"/>
    </w:rPr>
  </w:style>
  <w:style w:type="paragraph" w:styleId="Heading3">
    <w:name w:val="heading 3"/>
    <w:basedOn w:val="Normal"/>
    <w:next w:val="Normal"/>
    <w:link w:val="Heading3Char"/>
    <w:uiPriority w:val="9"/>
    <w:unhideWhenUsed/>
    <w:qFormat/>
    <w:rsid w:val="002554CD"/>
    <w:pPr>
      <w:keepNext/>
      <w:keepLines/>
      <w:spacing w:before="40" w:after="0"/>
      <w:outlineLvl w:val="2"/>
    </w:pPr>
    <w:rPr>
      <w:rFonts w:asciiTheme="majorHAnsi" w:eastAsiaTheme="majorEastAsia" w:hAnsiTheme="majorHAnsi" w:cstheme="majorBidi"/>
      <w:color w:val="004F5B" w:themeColor="accent1" w:themeShade="7F"/>
      <w:sz w:val="24"/>
      <w:szCs w:val="24"/>
    </w:rPr>
  </w:style>
  <w:style w:type="paragraph" w:styleId="Heading6">
    <w:name w:val="heading 6"/>
    <w:basedOn w:val="Normal"/>
    <w:next w:val="Normal"/>
    <w:link w:val="Heading6Char"/>
    <w:uiPriority w:val="9"/>
    <w:semiHidden/>
    <w:unhideWhenUsed/>
    <w:qFormat/>
    <w:rsid w:val="002554CD"/>
    <w:pPr>
      <w:keepNext/>
      <w:keepLines/>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D0D"/>
    <w:rPr>
      <w:rFonts w:asciiTheme="majorHAnsi" w:eastAsiaTheme="majorEastAsia" w:hAnsiTheme="majorHAnsi" w:cstheme="majorBidi"/>
      <w:color w:val="007789" w:themeColor="accent1" w:themeShade="BF"/>
      <w:sz w:val="32"/>
    </w:rPr>
  </w:style>
  <w:style w:type="character" w:customStyle="1" w:styleId="Heading2Char">
    <w:name w:val="Heading 2 Char"/>
    <w:basedOn w:val="DefaultParagraphFont"/>
    <w:link w:val="Heading2"/>
    <w:uiPriority w:val="9"/>
    <w:rsid w:val="00333D0D"/>
    <w:rPr>
      <w:rFonts w:asciiTheme="majorHAnsi" w:eastAsiaTheme="majorEastAsia" w:hAnsiTheme="majorHAnsi" w:cstheme="majorBidi"/>
      <w:caps/>
      <w:color w:val="007789" w:themeColor="accent1" w:themeShade="BF"/>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4"/>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3"/>
      </w:numPr>
      <w:contextualSpacing/>
    </w:pPr>
  </w:style>
  <w:style w:type="character" w:customStyle="1" w:styleId="Heading3Char">
    <w:name w:val="Heading 3 Char"/>
    <w:basedOn w:val="DefaultParagraphFont"/>
    <w:link w:val="Heading3"/>
    <w:uiPriority w:val="9"/>
    <w:rsid w:val="00C6554A"/>
    <w:rPr>
      <w:rFonts w:asciiTheme="majorHAnsi" w:eastAsiaTheme="majorEastAsia" w:hAnsiTheme="majorHAnsi" w:cstheme="majorBidi"/>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iPriority w:val="35"/>
    <w:semiHidden/>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rPr>
  </w:style>
  <w:style w:type="character" w:styleId="UnresolvedMention">
    <w:name w:val="Unresolved Mention"/>
    <w:basedOn w:val="DefaultParagraphFont"/>
    <w:uiPriority w:val="99"/>
    <w:semiHidden/>
    <w:unhideWhenUsed/>
    <w:rsid w:val="00C252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624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youtu.be/Ja8vu_leDio"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ersha\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Student report with photo</Template>
  <TotalTime>1695</TotalTime>
  <Pages>5</Pages>
  <Words>1081</Words>
  <Characters>6167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Hayden (Oji Fibre Solutions)</dc:creator>
  <cp:keywords/>
  <dc:description/>
  <cp:lastModifiedBy>Anderson, Hayden (Oji Fibre Solutions)</cp:lastModifiedBy>
  <cp:revision>9</cp:revision>
  <dcterms:created xsi:type="dcterms:W3CDTF">2019-04-03T01:03:00Z</dcterms:created>
  <dcterms:modified xsi:type="dcterms:W3CDTF">2019-04-17T03:53:00Z</dcterms:modified>
</cp:coreProperties>
</file>