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30E63B7C" w:rsidR="00C6554A" w:rsidRPr="001972F5" w:rsidRDefault="007B0BB9" w:rsidP="00C6554A">
      <w:pPr>
        <w:pStyle w:val="Subtitle"/>
        <w:rPr>
          <w:color w:val="auto"/>
        </w:rPr>
      </w:pPr>
      <w:r w:rsidRPr="001972F5">
        <w:rPr>
          <w:color w:val="auto"/>
        </w:rPr>
        <w:t>ASS#</w:t>
      </w:r>
      <w:r w:rsidR="006F3141" w:rsidRPr="001972F5">
        <w:rPr>
          <w:color w:val="auto"/>
        </w:rPr>
        <w:t>2</w:t>
      </w:r>
    </w:p>
    <w:p w14:paraId="5196D61E" w14:textId="77777777" w:rsidR="007B0BB9" w:rsidRPr="001972F5" w:rsidRDefault="007B0BB9" w:rsidP="007B0BB9">
      <w:pPr>
        <w:pStyle w:val="ContactInfo"/>
        <w:rPr>
          <w:color w:val="auto"/>
        </w:rPr>
      </w:pPr>
      <w:r w:rsidRPr="001972F5">
        <w:rPr>
          <w:color w:val="auto"/>
        </w:rPr>
        <w:t>Hayden Anderson</w:t>
      </w:r>
      <w:r w:rsidR="00C6554A" w:rsidRPr="001972F5">
        <w:rPr>
          <w:color w:val="auto"/>
        </w:rPr>
        <w:t xml:space="preserve"> | </w:t>
      </w:r>
      <w:r w:rsidRPr="001972F5">
        <w:rPr>
          <w:color w:val="auto"/>
        </w:rPr>
        <w:t>S0090574</w:t>
      </w:r>
      <w:r w:rsidR="00C6554A" w:rsidRPr="001972F5">
        <w:rPr>
          <w:color w:val="auto"/>
        </w:rPr>
        <w:t xml:space="preserve"> |</w:t>
      </w:r>
      <w:r w:rsidRPr="001972F5">
        <w:rPr>
          <w:color w:val="auto"/>
        </w:rPr>
        <w:t>CQUniversity</w:t>
      </w:r>
    </w:p>
    <w:p w14:paraId="72FBB5C5" w14:textId="6877A8E2" w:rsidR="00C6554A" w:rsidRDefault="00C6554A" w:rsidP="007B0BB9">
      <w:pPr>
        <w:pStyle w:val="ContactInfo"/>
      </w:pPr>
      <w:r>
        <w:br w:type="page"/>
      </w:r>
    </w:p>
    <w:p w14:paraId="7B01F026" w14:textId="173AF6E8" w:rsidR="006F3141" w:rsidRDefault="007B0BB9" w:rsidP="00CB69E9">
      <w:pPr>
        <w:pStyle w:val="Heading1"/>
      </w:pPr>
      <w:r>
        <w:lastRenderedPageBreak/>
        <w:t xml:space="preserve">Step </w:t>
      </w:r>
      <w:r w:rsidR="00D262DE">
        <w:t>6: Chapter 8 Reflection</w:t>
      </w:r>
    </w:p>
    <w:p w14:paraId="60AE77ED" w14:textId="3389E7B1" w:rsidR="00D262DE" w:rsidRDefault="00D262DE" w:rsidP="00D262DE">
      <w:pPr>
        <w:pStyle w:val="Heading3"/>
      </w:pPr>
    </w:p>
    <w:p w14:paraId="4C8A3509" w14:textId="53D02005" w:rsidR="00D262DE" w:rsidRDefault="00D262DE" w:rsidP="00D262DE">
      <w:pPr>
        <w:pStyle w:val="Heading3"/>
      </w:pPr>
      <w:r>
        <w:t>What costs are relevant?</w:t>
      </w:r>
    </w:p>
    <w:p w14:paraId="37318A0E" w14:textId="77777777" w:rsidR="00FD048F" w:rsidRPr="00293EA5" w:rsidRDefault="00D262DE" w:rsidP="00D262DE">
      <w:pPr>
        <w:rPr>
          <w:color w:val="000000" w:themeColor="text1"/>
        </w:rPr>
      </w:pPr>
      <w:r w:rsidRPr="00293EA5">
        <w:rPr>
          <w:color w:val="000000" w:themeColor="text1"/>
        </w:rPr>
        <w:t>Focusing on what is relevant, a fantastic statement that can be clouded in subjectivity. Managers need to make sound informed decisions and often do b</w:t>
      </w:r>
      <w:r w:rsidR="000241C5" w:rsidRPr="00293EA5">
        <w:rPr>
          <w:color w:val="000000" w:themeColor="text1"/>
        </w:rPr>
        <w:t>y</w:t>
      </w:r>
      <w:r w:rsidRPr="00293EA5">
        <w:rPr>
          <w:color w:val="000000" w:themeColor="text1"/>
        </w:rPr>
        <w:t xml:space="preserve"> conducting “cost benefit analysis”. Martin describes that </w:t>
      </w:r>
      <w:r w:rsidR="000241C5" w:rsidRPr="00293EA5">
        <w:rPr>
          <w:color w:val="000000" w:themeColor="text1"/>
        </w:rPr>
        <w:t>these analyses</w:t>
      </w:r>
      <w:r w:rsidRPr="00293EA5">
        <w:rPr>
          <w:color w:val="000000" w:themeColor="text1"/>
        </w:rPr>
        <w:t xml:space="preserve"> are made based on the “costs and benefits expected to change because of the decision being made”</w:t>
      </w:r>
      <w:r w:rsidR="000241C5" w:rsidRPr="00293EA5">
        <w:rPr>
          <w:color w:val="000000" w:themeColor="text1"/>
        </w:rPr>
        <w:t>.</w:t>
      </w:r>
      <w:r w:rsidRPr="00293EA5">
        <w:rPr>
          <w:color w:val="000000" w:themeColor="text1"/>
        </w:rPr>
        <w:t xml:space="preserve"> </w:t>
      </w:r>
      <w:r w:rsidR="000241C5" w:rsidRPr="00293EA5">
        <w:rPr>
          <w:color w:val="000000" w:themeColor="text1"/>
        </w:rPr>
        <w:t xml:space="preserve">Ensuring we are well informed of the information involved in these costs is important. Martin describes “sunk” costs as costs that are non-relevant to the decision because they have already been paid or we made to due to past decisions. Martin also designates that there are often outcomes that can be common to a varying degree of alternatives within these decisions. That is to say that regardless of the options one could make there are “differential or incremental costs” regardless of the opportunity selected.  </w:t>
      </w:r>
      <w:proofErr w:type="gramStart"/>
      <w:r w:rsidR="000241C5" w:rsidRPr="00293EA5">
        <w:rPr>
          <w:color w:val="000000" w:themeColor="text1"/>
        </w:rPr>
        <w:t>So</w:t>
      </w:r>
      <w:proofErr w:type="gramEnd"/>
      <w:r w:rsidR="000241C5" w:rsidRPr="00293EA5">
        <w:rPr>
          <w:color w:val="000000" w:themeColor="text1"/>
        </w:rPr>
        <w:t xml:space="preserve"> you could </w:t>
      </w:r>
      <w:r w:rsidR="00FD048F" w:rsidRPr="00293EA5">
        <w:rPr>
          <w:color w:val="000000" w:themeColor="text1"/>
        </w:rPr>
        <w:t>surmise</w:t>
      </w:r>
      <w:r w:rsidR="000241C5" w:rsidRPr="00293EA5">
        <w:rPr>
          <w:color w:val="000000" w:themeColor="text1"/>
        </w:rPr>
        <w:t xml:space="preserve"> that the ability to make </w:t>
      </w:r>
      <w:r w:rsidR="00FD048F" w:rsidRPr="00293EA5">
        <w:rPr>
          <w:color w:val="000000" w:themeColor="text1"/>
        </w:rPr>
        <w:t>the best cost benefit analysis involves understanding the relevant costs and their impacts for the future.</w:t>
      </w:r>
    </w:p>
    <w:p w14:paraId="38B47585" w14:textId="77777777" w:rsidR="00FD048F" w:rsidRDefault="00FD048F" w:rsidP="00FD048F">
      <w:pPr>
        <w:pStyle w:val="Heading3"/>
      </w:pPr>
      <w:r>
        <w:t>Contribution.</w:t>
      </w:r>
    </w:p>
    <w:p w14:paraId="22DF7CE9" w14:textId="4D515208" w:rsidR="000241C5" w:rsidRPr="00293EA5" w:rsidRDefault="00FD048F" w:rsidP="00D262DE">
      <w:pPr>
        <w:rPr>
          <w:color w:val="000000" w:themeColor="text1"/>
        </w:rPr>
      </w:pPr>
      <w:r w:rsidRPr="00293EA5">
        <w:rPr>
          <w:color w:val="000000" w:themeColor="text1"/>
        </w:rPr>
        <w:t xml:space="preserve">The intertwining of ideas continues in this chapter as we look back at fixed and variable costs again. We understand that within our operations there are costs that remain fixed such as our ongoing leases for property. Other costs are variable such as labor hire which are often based on productivity, demand, and operational volume. We have also reflection on contribution margin (CM) equaling the difference between sales revenue (S) and variable costs (VC) and have been presented with the formula CM = S – VC. </w:t>
      </w:r>
    </w:p>
    <w:p w14:paraId="39147963" w14:textId="56F07DFF" w:rsidR="0078459C" w:rsidRPr="00293EA5" w:rsidRDefault="00FD048F" w:rsidP="00D262DE">
      <w:pPr>
        <w:rPr>
          <w:color w:val="000000" w:themeColor="text1"/>
        </w:rPr>
      </w:pPr>
      <w:r w:rsidRPr="00293EA5">
        <w:rPr>
          <w:color w:val="000000" w:themeColor="text1"/>
        </w:rPr>
        <w:t xml:space="preserve">Martin discussed the concept that having products with negative CM can be a bad scenario for a firm. In this instance the variable costs associated with these products would outweigh the sales they generate. However, we alternatively don’t want all positive CM either. </w:t>
      </w:r>
      <w:r w:rsidR="0078459C" w:rsidRPr="00293EA5">
        <w:rPr>
          <w:color w:val="000000" w:themeColor="text1"/>
        </w:rPr>
        <w:t>I’m</w:t>
      </w:r>
      <w:r w:rsidRPr="00293EA5">
        <w:rPr>
          <w:color w:val="000000" w:themeColor="text1"/>
        </w:rPr>
        <w:t xml:space="preserve"> beginning the thinking about a </w:t>
      </w:r>
      <w:r w:rsidR="0078459C" w:rsidRPr="00293EA5">
        <w:rPr>
          <w:color w:val="000000" w:themeColor="text1"/>
        </w:rPr>
        <w:t>well-balanced</w:t>
      </w:r>
      <w:r w:rsidRPr="00293EA5">
        <w:rPr>
          <w:color w:val="000000" w:themeColor="text1"/>
        </w:rPr>
        <w:t xml:space="preserve"> scale </w:t>
      </w:r>
      <w:r w:rsidR="0078459C" w:rsidRPr="00293EA5">
        <w:rPr>
          <w:color w:val="000000" w:themeColor="text1"/>
        </w:rPr>
        <w:t>set;</w:t>
      </w:r>
      <w:r w:rsidRPr="00293EA5">
        <w:rPr>
          <w:color w:val="000000" w:themeColor="text1"/>
        </w:rPr>
        <w:t xml:space="preserve"> </w:t>
      </w:r>
      <w:r w:rsidR="0078459C" w:rsidRPr="00293EA5">
        <w:rPr>
          <w:color w:val="000000" w:themeColor="text1"/>
        </w:rPr>
        <w:t>however,</w:t>
      </w:r>
      <w:r w:rsidRPr="00293EA5">
        <w:rPr>
          <w:color w:val="000000" w:themeColor="text1"/>
        </w:rPr>
        <w:t xml:space="preserve"> </w:t>
      </w:r>
      <w:r w:rsidR="0078459C" w:rsidRPr="00293EA5">
        <w:rPr>
          <w:color w:val="000000" w:themeColor="text1"/>
        </w:rPr>
        <w:t>I am wondering if there is an ideal</w:t>
      </w:r>
      <w:r w:rsidR="0078459C" w:rsidRPr="00293EA5">
        <w:rPr>
          <w:i/>
          <w:color w:val="000000" w:themeColor="text1"/>
        </w:rPr>
        <w:t xml:space="preserve"> ratio</w:t>
      </w:r>
      <w:r w:rsidR="0078459C" w:rsidRPr="00293EA5">
        <w:rPr>
          <w:color w:val="000000" w:themeColor="text1"/>
        </w:rPr>
        <w:t xml:space="preserve"> here…perhaps we are being led down that path? Martin also discusses how the various stakeholders in our firms all have a vested interested in our CM and finding the balance I the goal, but what’s the balance?</w:t>
      </w:r>
    </w:p>
    <w:p w14:paraId="593504B7" w14:textId="649E667F" w:rsidR="0078459C" w:rsidRDefault="0078459C" w:rsidP="0078459C">
      <w:pPr>
        <w:pStyle w:val="Heading3"/>
      </w:pPr>
      <w:r>
        <w:t>Mixed-decisions.</w:t>
      </w:r>
    </w:p>
    <w:p w14:paraId="2BCF1059" w14:textId="03F5A5D7" w:rsidR="0078459C" w:rsidRPr="00293EA5" w:rsidRDefault="0078459C" w:rsidP="0078459C">
      <w:pPr>
        <w:rPr>
          <w:color w:val="000000" w:themeColor="text1"/>
        </w:rPr>
      </w:pPr>
      <w:r w:rsidRPr="00293EA5">
        <w:rPr>
          <w:color w:val="000000" w:themeColor="text1"/>
        </w:rPr>
        <w:t>How much of various products should a firm obtain or produce and seek to sell is a concept called “product-mixed decisions”. The offerings of a firm and their ability to spread these offerings or focus on a few. I’m thinking of a scatter gun approach where by a company may fire a product shot into the market the presents multiple options to their consumers. This in turn would mean they have to produce multiple products internally which may put significant demand across their business in terms of reliability to produce or even obtain and store the components to produce the products.</w:t>
      </w:r>
    </w:p>
    <w:p w14:paraId="1DD6D9A6" w14:textId="3B634D72" w:rsidR="0078459C" w:rsidRPr="00293EA5" w:rsidRDefault="0078459C" w:rsidP="0078459C">
      <w:pPr>
        <w:rPr>
          <w:color w:val="000000" w:themeColor="text1"/>
        </w:rPr>
      </w:pPr>
      <w:r w:rsidRPr="00293EA5">
        <w:rPr>
          <w:color w:val="000000" w:themeColor="text1"/>
        </w:rPr>
        <w:lastRenderedPageBreak/>
        <w:t>Martin has laid out an example where by an approach is used</w:t>
      </w:r>
      <w:r w:rsidRPr="00293EA5">
        <w:rPr>
          <w:color w:val="000000" w:themeColor="text1"/>
        </w:rPr>
        <w:t xml:space="preserve"> when making product-mix decisions with these two constraints (one a resource constraint, the other a market demand constraint):</w:t>
      </w:r>
    </w:p>
    <w:p w14:paraId="56687C30" w14:textId="41BE3BE2" w:rsidR="0078459C" w:rsidRPr="00293EA5" w:rsidRDefault="0078459C" w:rsidP="00A20E88">
      <w:pPr>
        <w:pStyle w:val="ListParagraph"/>
        <w:numPr>
          <w:ilvl w:val="0"/>
          <w:numId w:val="19"/>
        </w:numPr>
        <w:rPr>
          <w:color w:val="000000" w:themeColor="text1"/>
        </w:rPr>
      </w:pPr>
      <w:r w:rsidRPr="00293EA5">
        <w:rPr>
          <w:color w:val="000000" w:themeColor="text1"/>
        </w:rPr>
        <w:t>Calculate the contribution margin for each product.</w:t>
      </w:r>
    </w:p>
    <w:p w14:paraId="017110D6" w14:textId="4B928713" w:rsidR="0078459C" w:rsidRPr="00293EA5" w:rsidRDefault="0078459C" w:rsidP="00A20E88">
      <w:pPr>
        <w:pStyle w:val="ListParagraph"/>
        <w:numPr>
          <w:ilvl w:val="0"/>
          <w:numId w:val="19"/>
        </w:numPr>
        <w:rPr>
          <w:color w:val="000000" w:themeColor="text1"/>
        </w:rPr>
      </w:pPr>
      <w:r w:rsidRPr="00293EA5">
        <w:rPr>
          <w:color w:val="000000" w:themeColor="text1"/>
        </w:rPr>
        <w:t>Eliminate immediately any products that provide a negative contribution margin (remembering the situation with Robinhood).</w:t>
      </w:r>
    </w:p>
    <w:p w14:paraId="699F9B96" w14:textId="2AA7893B" w:rsidR="0078459C" w:rsidRPr="00293EA5" w:rsidRDefault="0078459C" w:rsidP="00A20E88">
      <w:pPr>
        <w:pStyle w:val="ListParagraph"/>
        <w:numPr>
          <w:ilvl w:val="0"/>
          <w:numId w:val="19"/>
        </w:numPr>
        <w:rPr>
          <w:color w:val="000000" w:themeColor="text1"/>
        </w:rPr>
      </w:pPr>
      <w:r w:rsidRPr="00293EA5">
        <w:rPr>
          <w:color w:val="000000" w:themeColor="text1"/>
        </w:rPr>
        <w:t>Calculate the contribution margin per unit of the resource constraint for all the remaining products that provide a positive contribution margin.</w:t>
      </w:r>
    </w:p>
    <w:p w14:paraId="2B20AC07" w14:textId="31B5B33D" w:rsidR="0078459C" w:rsidRPr="00293EA5" w:rsidRDefault="0078459C" w:rsidP="00A20E88">
      <w:pPr>
        <w:pStyle w:val="ListParagraph"/>
        <w:numPr>
          <w:ilvl w:val="0"/>
          <w:numId w:val="19"/>
        </w:numPr>
        <w:rPr>
          <w:color w:val="000000" w:themeColor="text1"/>
        </w:rPr>
      </w:pPr>
      <w:r w:rsidRPr="00293EA5">
        <w:rPr>
          <w:color w:val="000000" w:themeColor="text1"/>
        </w:rPr>
        <w:t>Rank each product by contribution margin per unit of resource constraint.</w:t>
      </w:r>
    </w:p>
    <w:p w14:paraId="01E7CCC7" w14:textId="0CE79A9F" w:rsidR="0078459C" w:rsidRPr="00293EA5" w:rsidRDefault="0078459C" w:rsidP="00A20E88">
      <w:pPr>
        <w:pStyle w:val="ListParagraph"/>
        <w:numPr>
          <w:ilvl w:val="0"/>
          <w:numId w:val="19"/>
        </w:numPr>
        <w:rPr>
          <w:color w:val="000000" w:themeColor="text1"/>
        </w:rPr>
      </w:pPr>
      <w:r w:rsidRPr="00293EA5">
        <w:rPr>
          <w:color w:val="000000" w:themeColor="text1"/>
        </w:rPr>
        <w:t>Decide to sell products with the highest positive contribution per unit of resource constraint until demand for the product is exhausted or the scarce resource is completely used up.</w:t>
      </w:r>
    </w:p>
    <w:p w14:paraId="58842708" w14:textId="46B35026" w:rsidR="00D262DE" w:rsidRPr="00293EA5" w:rsidRDefault="00A20E88" w:rsidP="00D262DE">
      <w:pPr>
        <w:rPr>
          <w:color w:val="000000" w:themeColor="text1"/>
        </w:rPr>
      </w:pPr>
      <w:r w:rsidRPr="00293EA5">
        <w:rPr>
          <w:color w:val="000000" w:themeColor="text1"/>
        </w:rPr>
        <w:t xml:space="preserve">The Robinhood range martin uses is a simple example as per below where by one can how the S-VC can affect a positive or negative CM. </w:t>
      </w:r>
    </w:p>
    <w:tbl>
      <w:tblPr>
        <w:tblW w:w="6180" w:type="dxa"/>
        <w:tblLook w:val="04A0" w:firstRow="1" w:lastRow="0" w:firstColumn="1" w:lastColumn="0" w:noHBand="0" w:noVBand="1"/>
      </w:tblPr>
      <w:tblGrid>
        <w:gridCol w:w="3300"/>
        <w:gridCol w:w="960"/>
        <w:gridCol w:w="960"/>
        <w:gridCol w:w="960"/>
      </w:tblGrid>
      <w:tr w:rsidR="00A20E88" w:rsidRPr="00A20E88" w14:paraId="6DA0CDD0" w14:textId="77777777" w:rsidTr="00A20E88">
        <w:trPr>
          <w:trHeight w:val="290"/>
        </w:trPr>
        <w:tc>
          <w:tcPr>
            <w:tcW w:w="3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D9753" w14:textId="77777777" w:rsidR="00A20E88" w:rsidRPr="00A20E88" w:rsidRDefault="00A20E88" w:rsidP="00A20E88">
            <w:pPr>
              <w:spacing w:before="0" w:after="0" w:line="240" w:lineRule="auto"/>
              <w:rPr>
                <w:rFonts w:ascii="Calibri" w:eastAsia="Times New Roman" w:hAnsi="Calibri" w:cs="Calibri"/>
                <w:b/>
                <w:bCs/>
                <w:color w:val="000000"/>
                <w:lang w:val="en-NZ" w:eastAsia="en-NZ"/>
              </w:rPr>
            </w:pPr>
            <w:r w:rsidRPr="00A20E88">
              <w:rPr>
                <w:rFonts w:ascii="Calibri" w:eastAsia="Times New Roman" w:hAnsi="Calibri" w:cs="Calibri"/>
                <w:b/>
                <w:bCs/>
                <w:color w:val="000000"/>
                <w:lang w:val="en-NZ" w:eastAsia="en-NZ"/>
              </w:rPr>
              <w:t>Product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2310C4" w14:textId="77777777" w:rsidR="00A20E88" w:rsidRPr="00A20E88" w:rsidRDefault="00A20E88" w:rsidP="00A20E88">
            <w:pPr>
              <w:spacing w:before="0" w:after="0" w:line="240" w:lineRule="auto"/>
              <w:rPr>
                <w:rFonts w:ascii="Calibri" w:eastAsia="Times New Roman" w:hAnsi="Calibri" w:cs="Calibri"/>
                <w:b/>
                <w:bCs/>
                <w:color w:val="000000"/>
                <w:lang w:val="en-NZ" w:eastAsia="en-NZ"/>
              </w:rPr>
            </w:pPr>
            <w:r w:rsidRPr="00A20E88">
              <w:rPr>
                <w:rFonts w:ascii="Calibri" w:eastAsia="Times New Roman" w:hAnsi="Calibri" w:cs="Calibri"/>
                <w:b/>
                <w:bCs/>
                <w:color w:val="000000"/>
                <w:lang w:val="en-NZ" w:eastAsia="en-NZ"/>
              </w:rPr>
              <w:t>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B46D8DD" w14:textId="77777777" w:rsidR="00A20E88" w:rsidRPr="00A20E88" w:rsidRDefault="00A20E88" w:rsidP="00A20E88">
            <w:pPr>
              <w:spacing w:before="0" w:after="0" w:line="240" w:lineRule="auto"/>
              <w:rPr>
                <w:rFonts w:ascii="Calibri" w:eastAsia="Times New Roman" w:hAnsi="Calibri" w:cs="Calibri"/>
                <w:b/>
                <w:bCs/>
                <w:color w:val="000000"/>
                <w:lang w:val="en-NZ" w:eastAsia="en-NZ"/>
              </w:rPr>
            </w:pPr>
            <w:r w:rsidRPr="00A20E88">
              <w:rPr>
                <w:rFonts w:ascii="Calibri" w:eastAsia="Times New Roman" w:hAnsi="Calibri" w:cs="Calibri"/>
                <w:b/>
                <w:bCs/>
                <w:color w:val="000000"/>
                <w:lang w:val="en-NZ" w:eastAsia="en-NZ"/>
              </w:rPr>
              <w:t>VC</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7FA6FD3" w14:textId="77777777" w:rsidR="00A20E88" w:rsidRPr="00A20E88" w:rsidRDefault="00A20E88" w:rsidP="00A20E88">
            <w:pPr>
              <w:spacing w:before="0" w:after="0" w:line="240" w:lineRule="auto"/>
              <w:rPr>
                <w:rFonts w:ascii="Calibri" w:eastAsia="Times New Roman" w:hAnsi="Calibri" w:cs="Calibri"/>
                <w:b/>
                <w:bCs/>
                <w:color w:val="000000"/>
                <w:lang w:val="en-NZ" w:eastAsia="en-NZ"/>
              </w:rPr>
            </w:pPr>
            <w:r w:rsidRPr="00A20E88">
              <w:rPr>
                <w:rFonts w:ascii="Calibri" w:eastAsia="Times New Roman" w:hAnsi="Calibri" w:cs="Calibri"/>
                <w:b/>
                <w:bCs/>
                <w:color w:val="000000"/>
                <w:lang w:val="en-NZ" w:eastAsia="en-NZ"/>
              </w:rPr>
              <w:t>CM</w:t>
            </w:r>
          </w:p>
        </w:tc>
      </w:tr>
      <w:tr w:rsidR="00A20E88" w:rsidRPr="00A20E88" w14:paraId="05FB4AF6" w14:textId="77777777" w:rsidTr="00A20E88">
        <w:trPr>
          <w:trHeight w:val="290"/>
        </w:trPr>
        <w:tc>
          <w:tcPr>
            <w:tcW w:w="3300" w:type="dxa"/>
            <w:tcBorders>
              <w:top w:val="nil"/>
              <w:left w:val="single" w:sz="4" w:space="0" w:color="auto"/>
              <w:bottom w:val="single" w:sz="4" w:space="0" w:color="auto"/>
              <w:right w:val="single" w:sz="4" w:space="0" w:color="auto"/>
            </w:tcBorders>
            <w:shd w:val="clear" w:color="auto" w:fill="auto"/>
            <w:noWrap/>
            <w:vAlign w:val="bottom"/>
            <w:hideMark/>
          </w:tcPr>
          <w:p w14:paraId="4D048E70" w14:textId="77777777" w:rsidR="00A20E88" w:rsidRPr="00A20E88" w:rsidRDefault="00A20E88" w:rsidP="00A20E88">
            <w:pPr>
              <w:spacing w:before="0" w:after="0" w:line="240" w:lineRule="auto"/>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 xml:space="preserve">Island Curved Glass </w:t>
            </w:r>
            <w:proofErr w:type="spellStart"/>
            <w:r w:rsidRPr="00A20E88">
              <w:rPr>
                <w:rFonts w:ascii="Calibri" w:eastAsia="Times New Roman" w:hAnsi="Calibri" w:cs="Calibri"/>
                <w:color w:val="000000"/>
                <w:lang w:val="en-NZ" w:eastAsia="en-NZ"/>
              </w:rPr>
              <w:t>Canopyhood</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42D92B7D"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600</w:t>
            </w:r>
          </w:p>
        </w:tc>
        <w:tc>
          <w:tcPr>
            <w:tcW w:w="960" w:type="dxa"/>
            <w:tcBorders>
              <w:top w:val="nil"/>
              <w:left w:val="nil"/>
              <w:bottom w:val="single" w:sz="4" w:space="0" w:color="auto"/>
              <w:right w:val="single" w:sz="4" w:space="0" w:color="auto"/>
            </w:tcBorders>
            <w:shd w:val="clear" w:color="auto" w:fill="auto"/>
            <w:noWrap/>
            <w:vAlign w:val="bottom"/>
            <w:hideMark/>
          </w:tcPr>
          <w:p w14:paraId="20663B38"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300</w:t>
            </w:r>
          </w:p>
        </w:tc>
        <w:tc>
          <w:tcPr>
            <w:tcW w:w="960" w:type="dxa"/>
            <w:tcBorders>
              <w:top w:val="nil"/>
              <w:left w:val="nil"/>
              <w:bottom w:val="single" w:sz="4" w:space="0" w:color="auto"/>
              <w:right w:val="single" w:sz="4" w:space="0" w:color="auto"/>
            </w:tcBorders>
            <w:shd w:val="clear" w:color="auto" w:fill="auto"/>
            <w:noWrap/>
            <w:vAlign w:val="bottom"/>
            <w:hideMark/>
          </w:tcPr>
          <w:p w14:paraId="0CFAA0E6"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300</w:t>
            </w:r>
          </w:p>
        </w:tc>
      </w:tr>
      <w:tr w:rsidR="00A20E88" w:rsidRPr="00A20E88" w14:paraId="312408A8" w14:textId="77777777" w:rsidTr="00A20E88">
        <w:trPr>
          <w:trHeight w:val="290"/>
        </w:trPr>
        <w:tc>
          <w:tcPr>
            <w:tcW w:w="3300" w:type="dxa"/>
            <w:tcBorders>
              <w:top w:val="nil"/>
              <w:left w:val="single" w:sz="4" w:space="0" w:color="auto"/>
              <w:bottom w:val="single" w:sz="4" w:space="0" w:color="auto"/>
              <w:right w:val="single" w:sz="4" w:space="0" w:color="auto"/>
            </w:tcBorders>
            <w:shd w:val="clear" w:color="auto" w:fill="auto"/>
            <w:noWrap/>
            <w:vAlign w:val="bottom"/>
            <w:hideMark/>
          </w:tcPr>
          <w:p w14:paraId="147763B6" w14:textId="77777777" w:rsidR="00A20E88" w:rsidRPr="00A20E88" w:rsidRDefault="00A20E88" w:rsidP="00A20E88">
            <w:pPr>
              <w:spacing w:before="0" w:after="0" w:line="240" w:lineRule="auto"/>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Wall Canopy Rangehood</w:t>
            </w:r>
          </w:p>
        </w:tc>
        <w:tc>
          <w:tcPr>
            <w:tcW w:w="960" w:type="dxa"/>
            <w:tcBorders>
              <w:top w:val="nil"/>
              <w:left w:val="nil"/>
              <w:bottom w:val="single" w:sz="4" w:space="0" w:color="auto"/>
              <w:right w:val="single" w:sz="4" w:space="0" w:color="auto"/>
            </w:tcBorders>
            <w:shd w:val="clear" w:color="auto" w:fill="auto"/>
            <w:noWrap/>
            <w:vAlign w:val="bottom"/>
            <w:hideMark/>
          </w:tcPr>
          <w:p w14:paraId="4338F444"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250</w:t>
            </w:r>
          </w:p>
        </w:tc>
        <w:tc>
          <w:tcPr>
            <w:tcW w:w="960" w:type="dxa"/>
            <w:tcBorders>
              <w:top w:val="nil"/>
              <w:left w:val="nil"/>
              <w:bottom w:val="single" w:sz="4" w:space="0" w:color="auto"/>
              <w:right w:val="single" w:sz="4" w:space="0" w:color="auto"/>
            </w:tcBorders>
            <w:shd w:val="clear" w:color="auto" w:fill="auto"/>
            <w:noWrap/>
            <w:vAlign w:val="bottom"/>
            <w:hideMark/>
          </w:tcPr>
          <w:p w14:paraId="7AFFA28D"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150</w:t>
            </w:r>
          </w:p>
        </w:tc>
        <w:tc>
          <w:tcPr>
            <w:tcW w:w="960" w:type="dxa"/>
            <w:tcBorders>
              <w:top w:val="nil"/>
              <w:left w:val="nil"/>
              <w:bottom w:val="single" w:sz="4" w:space="0" w:color="auto"/>
              <w:right w:val="single" w:sz="4" w:space="0" w:color="auto"/>
            </w:tcBorders>
            <w:shd w:val="clear" w:color="auto" w:fill="auto"/>
            <w:noWrap/>
            <w:vAlign w:val="bottom"/>
            <w:hideMark/>
          </w:tcPr>
          <w:p w14:paraId="3C0BF0DC"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100</w:t>
            </w:r>
          </w:p>
        </w:tc>
      </w:tr>
      <w:tr w:rsidR="00A20E88" w:rsidRPr="00A20E88" w14:paraId="0746D5EE" w14:textId="77777777" w:rsidTr="00A20E88">
        <w:trPr>
          <w:trHeight w:val="290"/>
        </w:trPr>
        <w:tc>
          <w:tcPr>
            <w:tcW w:w="3300" w:type="dxa"/>
            <w:tcBorders>
              <w:top w:val="nil"/>
              <w:left w:val="single" w:sz="4" w:space="0" w:color="auto"/>
              <w:bottom w:val="single" w:sz="4" w:space="0" w:color="auto"/>
              <w:right w:val="single" w:sz="4" w:space="0" w:color="auto"/>
            </w:tcBorders>
            <w:shd w:val="clear" w:color="auto" w:fill="auto"/>
            <w:noWrap/>
            <w:vAlign w:val="bottom"/>
            <w:hideMark/>
          </w:tcPr>
          <w:p w14:paraId="4E6CDB9D" w14:textId="77777777" w:rsidR="00A20E88" w:rsidRPr="00A20E88" w:rsidRDefault="00A20E88" w:rsidP="00A20E88">
            <w:pPr>
              <w:spacing w:before="0" w:after="0" w:line="240" w:lineRule="auto"/>
              <w:rPr>
                <w:rFonts w:ascii="Calibri" w:eastAsia="Times New Roman" w:hAnsi="Calibri" w:cs="Calibri"/>
                <w:color w:val="000000"/>
                <w:lang w:val="en-NZ" w:eastAsia="en-NZ"/>
              </w:rPr>
            </w:pPr>
            <w:proofErr w:type="spellStart"/>
            <w:r w:rsidRPr="00A20E88">
              <w:rPr>
                <w:rFonts w:ascii="Calibri" w:eastAsia="Times New Roman" w:hAnsi="Calibri" w:cs="Calibri"/>
                <w:color w:val="000000"/>
                <w:lang w:val="en-NZ" w:eastAsia="en-NZ"/>
              </w:rPr>
              <w:t>Supertub</w:t>
            </w:r>
            <w:proofErr w:type="spellEnd"/>
            <w:r w:rsidRPr="00A20E88">
              <w:rPr>
                <w:rFonts w:ascii="Calibri" w:eastAsia="Times New Roman" w:hAnsi="Calibri" w:cs="Calibri"/>
                <w:color w:val="000000"/>
                <w:lang w:val="en-NZ" w:eastAsia="en-NZ"/>
              </w:rPr>
              <w:t xml:space="preserve"> ST7001</w:t>
            </w:r>
          </w:p>
        </w:tc>
        <w:tc>
          <w:tcPr>
            <w:tcW w:w="960" w:type="dxa"/>
            <w:tcBorders>
              <w:top w:val="nil"/>
              <w:left w:val="nil"/>
              <w:bottom w:val="single" w:sz="4" w:space="0" w:color="auto"/>
              <w:right w:val="single" w:sz="4" w:space="0" w:color="auto"/>
            </w:tcBorders>
            <w:shd w:val="clear" w:color="auto" w:fill="auto"/>
            <w:noWrap/>
            <w:vAlign w:val="bottom"/>
            <w:hideMark/>
          </w:tcPr>
          <w:p w14:paraId="4131F3EC"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300</w:t>
            </w:r>
          </w:p>
        </w:tc>
        <w:tc>
          <w:tcPr>
            <w:tcW w:w="960" w:type="dxa"/>
            <w:tcBorders>
              <w:top w:val="nil"/>
              <w:left w:val="nil"/>
              <w:bottom w:val="single" w:sz="4" w:space="0" w:color="auto"/>
              <w:right w:val="single" w:sz="4" w:space="0" w:color="auto"/>
            </w:tcBorders>
            <w:shd w:val="clear" w:color="auto" w:fill="auto"/>
            <w:noWrap/>
            <w:vAlign w:val="bottom"/>
            <w:hideMark/>
          </w:tcPr>
          <w:p w14:paraId="34676F10"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150</w:t>
            </w:r>
          </w:p>
        </w:tc>
        <w:tc>
          <w:tcPr>
            <w:tcW w:w="960" w:type="dxa"/>
            <w:tcBorders>
              <w:top w:val="nil"/>
              <w:left w:val="nil"/>
              <w:bottom w:val="single" w:sz="4" w:space="0" w:color="auto"/>
              <w:right w:val="single" w:sz="4" w:space="0" w:color="auto"/>
            </w:tcBorders>
            <w:shd w:val="clear" w:color="auto" w:fill="auto"/>
            <w:noWrap/>
            <w:vAlign w:val="bottom"/>
            <w:hideMark/>
          </w:tcPr>
          <w:p w14:paraId="7F1C99D7"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150</w:t>
            </w:r>
          </w:p>
        </w:tc>
      </w:tr>
      <w:tr w:rsidR="00A20E88" w:rsidRPr="00A20E88" w14:paraId="4691C81F" w14:textId="77777777" w:rsidTr="00A20E88">
        <w:trPr>
          <w:trHeight w:val="290"/>
        </w:trPr>
        <w:tc>
          <w:tcPr>
            <w:tcW w:w="3300" w:type="dxa"/>
            <w:tcBorders>
              <w:top w:val="nil"/>
              <w:left w:val="single" w:sz="4" w:space="0" w:color="auto"/>
              <w:bottom w:val="single" w:sz="4" w:space="0" w:color="auto"/>
              <w:right w:val="single" w:sz="4" w:space="0" w:color="auto"/>
            </w:tcBorders>
            <w:shd w:val="clear" w:color="auto" w:fill="auto"/>
            <w:noWrap/>
            <w:vAlign w:val="bottom"/>
            <w:hideMark/>
          </w:tcPr>
          <w:p w14:paraId="4389B2A6" w14:textId="77777777" w:rsidR="00A20E88" w:rsidRPr="00A20E88" w:rsidRDefault="00A20E88" w:rsidP="00A20E88">
            <w:pPr>
              <w:spacing w:before="0" w:after="0" w:line="240" w:lineRule="auto"/>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IC1300 Ironing Centre</w:t>
            </w:r>
          </w:p>
        </w:tc>
        <w:tc>
          <w:tcPr>
            <w:tcW w:w="960" w:type="dxa"/>
            <w:tcBorders>
              <w:top w:val="nil"/>
              <w:left w:val="nil"/>
              <w:bottom w:val="single" w:sz="4" w:space="0" w:color="auto"/>
              <w:right w:val="single" w:sz="4" w:space="0" w:color="auto"/>
            </w:tcBorders>
            <w:shd w:val="clear" w:color="auto" w:fill="auto"/>
            <w:noWrap/>
            <w:vAlign w:val="bottom"/>
            <w:hideMark/>
          </w:tcPr>
          <w:p w14:paraId="14976412"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300</w:t>
            </w:r>
          </w:p>
        </w:tc>
        <w:tc>
          <w:tcPr>
            <w:tcW w:w="960" w:type="dxa"/>
            <w:tcBorders>
              <w:top w:val="nil"/>
              <w:left w:val="nil"/>
              <w:bottom w:val="single" w:sz="4" w:space="0" w:color="auto"/>
              <w:right w:val="single" w:sz="4" w:space="0" w:color="auto"/>
            </w:tcBorders>
            <w:shd w:val="clear" w:color="auto" w:fill="auto"/>
            <w:noWrap/>
            <w:vAlign w:val="bottom"/>
            <w:hideMark/>
          </w:tcPr>
          <w:p w14:paraId="0EE6D13F"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200</w:t>
            </w:r>
          </w:p>
        </w:tc>
        <w:tc>
          <w:tcPr>
            <w:tcW w:w="960" w:type="dxa"/>
            <w:tcBorders>
              <w:top w:val="nil"/>
              <w:left w:val="nil"/>
              <w:bottom w:val="single" w:sz="4" w:space="0" w:color="auto"/>
              <w:right w:val="single" w:sz="4" w:space="0" w:color="auto"/>
            </w:tcBorders>
            <w:shd w:val="clear" w:color="auto" w:fill="auto"/>
            <w:noWrap/>
            <w:vAlign w:val="bottom"/>
            <w:hideMark/>
          </w:tcPr>
          <w:p w14:paraId="47F61509"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100</w:t>
            </w:r>
          </w:p>
        </w:tc>
      </w:tr>
      <w:tr w:rsidR="00A20E88" w:rsidRPr="00A20E88" w14:paraId="514011E5" w14:textId="77777777" w:rsidTr="00A20E88">
        <w:trPr>
          <w:trHeight w:val="290"/>
        </w:trPr>
        <w:tc>
          <w:tcPr>
            <w:tcW w:w="3300" w:type="dxa"/>
            <w:tcBorders>
              <w:top w:val="nil"/>
              <w:left w:val="single" w:sz="4" w:space="0" w:color="auto"/>
              <w:bottom w:val="single" w:sz="4" w:space="0" w:color="auto"/>
              <w:right w:val="single" w:sz="4" w:space="0" w:color="auto"/>
            </w:tcBorders>
            <w:shd w:val="clear" w:color="auto" w:fill="auto"/>
            <w:noWrap/>
            <w:vAlign w:val="bottom"/>
            <w:hideMark/>
          </w:tcPr>
          <w:p w14:paraId="61B71C89" w14:textId="77777777" w:rsidR="00A20E88" w:rsidRPr="00A20E88" w:rsidRDefault="00A20E88" w:rsidP="00A20E88">
            <w:pPr>
              <w:spacing w:before="0" w:after="0" w:line="240" w:lineRule="auto"/>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Emperor Waste Disposal</w:t>
            </w:r>
          </w:p>
        </w:tc>
        <w:tc>
          <w:tcPr>
            <w:tcW w:w="960" w:type="dxa"/>
            <w:tcBorders>
              <w:top w:val="nil"/>
              <w:left w:val="nil"/>
              <w:bottom w:val="single" w:sz="4" w:space="0" w:color="auto"/>
              <w:right w:val="single" w:sz="4" w:space="0" w:color="auto"/>
            </w:tcBorders>
            <w:shd w:val="clear" w:color="auto" w:fill="auto"/>
            <w:noWrap/>
            <w:vAlign w:val="bottom"/>
            <w:hideMark/>
          </w:tcPr>
          <w:p w14:paraId="48CE945A"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200</w:t>
            </w:r>
          </w:p>
        </w:tc>
        <w:tc>
          <w:tcPr>
            <w:tcW w:w="960" w:type="dxa"/>
            <w:tcBorders>
              <w:top w:val="nil"/>
              <w:left w:val="nil"/>
              <w:bottom w:val="single" w:sz="4" w:space="0" w:color="auto"/>
              <w:right w:val="single" w:sz="4" w:space="0" w:color="auto"/>
            </w:tcBorders>
            <w:shd w:val="clear" w:color="auto" w:fill="auto"/>
            <w:noWrap/>
            <w:vAlign w:val="bottom"/>
            <w:hideMark/>
          </w:tcPr>
          <w:p w14:paraId="381E1FB5"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250</w:t>
            </w:r>
          </w:p>
        </w:tc>
        <w:tc>
          <w:tcPr>
            <w:tcW w:w="960" w:type="dxa"/>
            <w:tcBorders>
              <w:top w:val="nil"/>
              <w:left w:val="nil"/>
              <w:bottom w:val="single" w:sz="4" w:space="0" w:color="auto"/>
              <w:right w:val="single" w:sz="4" w:space="0" w:color="auto"/>
            </w:tcBorders>
            <w:shd w:val="clear" w:color="auto" w:fill="auto"/>
            <w:noWrap/>
            <w:vAlign w:val="bottom"/>
            <w:hideMark/>
          </w:tcPr>
          <w:p w14:paraId="76B32284" w14:textId="77777777" w:rsidR="00A20E88" w:rsidRPr="00A20E88" w:rsidRDefault="00A20E88" w:rsidP="00A20E88">
            <w:pPr>
              <w:spacing w:before="0" w:after="0" w:line="240" w:lineRule="auto"/>
              <w:jc w:val="right"/>
              <w:rPr>
                <w:rFonts w:ascii="Calibri" w:eastAsia="Times New Roman" w:hAnsi="Calibri" w:cs="Calibri"/>
                <w:color w:val="000000"/>
                <w:lang w:val="en-NZ" w:eastAsia="en-NZ"/>
              </w:rPr>
            </w:pPr>
            <w:r w:rsidRPr="00A20E88">
              <w:rPr>
                <w:rFonts w:ascii="Calibri" w:eastAsia="Times New Roman" w:hAnsi="Calibri" w:cs="Calibri"/>
                <w:color w:val="000000"/>
                <w:lang w:val="en-NZ" w:eastAsia="en-NZ"/>
              </w:rPr>
              <w:t>-50</w:t>
            </w:r>
          </w:p>
        </w:tc>
      </w:tr>
    </w:tbl>
    <w:p w14:paraId="2EB3C3D2" w14:textId="71DB29A6" w:rsidR="00D262DE" w:rsidRPr="00293EA5" w:rsidRDefault="00D262DE" w:rsidP="00D262DE">
      <w:pPr>
        <w:rPr>
          <w:color w:val="000000" w:themeColor="text1"/>
        </w:rPr>
      </w:pPr>
    </w:p>
    <w:p w14:paraId="7FD9B458" w14:textId="6608B5D8" w:rsidR="00A20E88" w:rsidRPr="00293EA5" w:rsidRDefault="00A20E88" w:rsidP="00D262DE">
      <w:pPr>
        <w:rPr>
          <w:color w:val="000000" w:themeColor="text1"/>
        </w:rPr>
      </w:pPr>
      <w:r w:rsidRPr="00293EA5">
        <w:rPr>
          <w:color w:val="000000" w:themeColor="text1"/>
        </w:rPr>
        <w:t xml:space="preserve">By doing a simple analysis the company has been able to eliminate a product from its range and focus its efforts of four products that provide a positive CM.  This would in turn reduce stock on hand the company hand to keep, reduce manufacturing time and changeovers, reduce marketing costs, reduce downtime through their factory and so on. The simple act of reducing one product line increases benefit that have a significant flow on effect throughout the business.  </w:t>
      </w:r>
    </w:p>
    <w:p w14:paraId="6B9C9123" w14:textId="7852BB39" w:rsidR="00A20E88" w:rsidRDefault="00A20E88" w:rsidP="00A20E88">
      <w:pPr>
        <w:pStyle w:val="Heading3"/>
      </w:pPr>
      <w:r>
        <w:t>Long Term Decisions</w:t>
      </w:r>
    </w:p>
    <w:p w14:paraId="18E565D5" w14:textId="1C704998" w:rsidR="00A20E88" w:rsidRPr="00293EA5" w:rsidRDefault="00660427" w:rsidP="00A20E88">
      <w:pPr>
        <w:rPr>
          <w:color w:val="000000" w:themeColor="text1"/>
        </w:rPr>
      </w:pPr>
      <w:r w:rsidRPr="00293EA5">
        <w:rPr>
          <w:color w:val="000000" w:themeColor="text1"/>
        </w:rPr>
        <w:t>Martin discusses how managers can make long term investment decisions. Some investments are made knowing that an ROI will not been seen until many years. However, this is not necessarily a bad investment decision. Take my business for example, we set up last year and had a reasonably large capital investment requirement in order to set out the facility. Now the company was well aware that the initial few years would see a negative return due to this. However, the long-term decision was made because the company needed to position themselves within this market. Failure to do so would mean they would be missing the opportunity to grow that particular segment. The challenge would them be to ensure the gap between the negative and positive return continued to close as the market grew.</w:t>
      </w:r>
    </w:p>
    <w:p w14:paraId="52E74F10" w14:textId="3B2F249F" w:rsidR="00660427" w:rsidRDefault="00660427" w:rsidP="00660427">
      <w:pPr>
        <w:pStyle w:val="Heading3"/>
      </w:pPr>
      <w:r w:rsidRPr="00660427">
        <w:lastRenderedPageBreak/>
        <w:t>Accounting rate of retur</w:t>
      </w:r>
      <w:r>
        <w:t>n.</w:t>
      </w:r>
    </w:p>
    <w:p w14:paraId="1A9CCCFE" w14:textId="644A494D" w:rsidR="00660427" w:rsidRPr="00293EA5" w:rsidRDefault="00660427" w:rsidP="00660427">
      <w:pPr>
        <w:rPr>
          <w:color w:val="000000" w:themeColor="text1"/>
        </w:rPr>
      </w:pPr>
      <w:r w:rsidRPr="00293EA5">
        <w:rPr>
          <w:color w:val="000000" w:themeColor="text1"/>
        </w:rPr>
        <w:t>ARR is the mathematical way of working out the return on a capital investment based on profit over time. Martin uses a great example with two different style of airline and their total return over three years. The formula below will undoubtedly come in hand in the ratios spreadsheet.</w:t>
      </w:r>
    </w:p>
    <w:p w14:paraId="4880020B" w14:textId="046779A4" w:rsidR="00A20E88" w:rsidRPr="00D262DE" w:rsidRDefault="00660427" w:rsidP="00D262DE">
      <w:r>
        <w:rPr>
          <w:noProof/>
        </w:rPr>
        <w:drawing>
          <wp:inline distT="0" distB="0" distL="0" distR="0" wp14:anchorId="10B23131" wp14:editId="1F15E983">
            <wp:extent cx="2629035" cy="4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29035" cy="495325"/>
                    </a:xfrm>
                    <a:prstGeom prst="rect">
                      <a:avLst/>
                    </a:prstGeom>
                  </pic:spPr>
                </pic:pic>
              </a:graphicData>
            </a:graphic>
          </wp:inline>
        </w:drawing>
      </w:r>
    </w:p>
    <w:p w14:paraId="29398EB2" w14:textId="77777777" w:rsidR="00CB69E9" w:rsidRPr="00CB69E9" w:rsidRDefault="00CB69E9" w:rsidP="00CB69E9"/>
    <w:p w14:paraId="1791C3D5" w14:textId="691880B3" w:rsidR="007B0BB9" w:rsidRDefault="0092358B" w:rsidP="0092358B">
      <w:pPr>
        <w:pStyle w:val="Heading3"/>
      </w:pPr>
      <w:r w:rsidRPr="0092358B">
        <w:t>Payback Period</w:t>
      </w:r>
    </w:p>
    <w:p w14:paraId="6C0E3568" w14:textId="21554256" w:rsidR="0092358B" w:rsidRPr="00293EA5" w:rsidRDefault="0092358B" w:rsidP="0092358B">
      <w:pPr>
        <w:rPr>
          <w:color w:val="000000" w:themeColor="text1"/>
        </w:rPr>
      </w:pPr>
      <w:r w:rsidRPr="00293EA5">
        <w:rPr>
          <w:color w:val="000000" w:themeColor="text1"/>
        </w:rPr>
        <w:t xml:space="preserve">The payback period is defined as the period in which a capital investment has paid itself off. Initial capital investments are often shrouded in risk, because as martin describes “no one really knows what will happen in the future”. Most capital investments are usually calculated with this in mind. For example, I recently purchased a new box erecting machine. This machine erects cardboard cartons at around 1.5 times faster than my existing machine. Using this data, I could work out a </w:t>
      </w:r>
      <w:r w:rsidR="00543CA8" w:rsidRPr="00293EA5">
        <w:rPr>
          <w:color w:val="000000" w:themeColor="text1"/>
        </w:rPr>
        <w:t>simple</w:t>
      </w:r>
      <w:r w:rsidRPr="00293EA5">
        <w:rPr>
          <w:color w:val="000000" w:themeColor="text1"/>
        </w:rPr>
        <w:t xml:space="preserve"> timeline in which this investment will pay itself off purely through production speed.</w:t>
      </w:r>
    </w:p>
    <w:p w14:paraId="1FEADBDA" w14:textId="581719E2" w:rsidR="0092358B" w:rsidRPr="00293EA5" w:rsidRDefault="0092358B" w:rsidP="0092358B">
      <w:pPr>
        <w:rPr>
          <w:color w:val="000000" w:themeColor="text1"/>
        </w:rPr>
      </w:pPr>
      <w:r w:rsidRPr="00293EA5">
        <w:rPr>
          <w:color w:val="000000" w:themeColor="text1"/>
        </w:rPr>
        <w:t>It is said that where an investment can provide constant cash flow the payback period can be worked out using the formula:</w:t>
      </w:r>
    </w:p>
    <w:p w14:paraId="0948CE98" w14:textId="48231C02" w:rsidR="0092358B" w:rsidRDefault="0092358B" w:rsidP="0092358B">
      <w:r>
        <w:rPr>
          <w:noProof/>
        </w:rPr>
        <w:drawing>
          <wp:inline distT="0" distB="0" distL="0" distR="0" wp14:anchorId="422496A0" wp14:editId="10B34322">
            <wp:extent cx="2590933" cy="469924"/>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90933" cy="469924"/>
                    </a:xfrm>
                    <a:prstGeom prst="rect">
                      <a:avLst/>
                    </a:prstGeom>
                  </pic:spPr>
                </pic:pic>
              </a:graphicData>
            </a:graphic>
          </wp:inline>
        </w:drawing>
      </w:r>
    </w:p>
    <w:p w14:paraId="7E7B460A" w14:textId="77777777" w:rsidR="0092358B" w:rsidRDefault="0092358B" w:rsidP="0092358B">
      <w:pPr>
        <w:pStyle w:val="Heading3"/>
        <w:rPr>
          <w:sz w:val="28"/>
          <w:szCs w:val="28"/>
        </w:rPr>
      </w:pPr>
    </w:p>
    <w:p w14:paraId="05F65C76" w14:textId="4C01DCAA" w:rsidR="0092358B" w:rsidRPr="00024B31" w:rsidRDefault="0092358B" w:rsidP="00024B31">
      <w:pPr>
        <w:pStyle w:val="Heading3"/>
      </w:pPr>
      <w:r w:rsidRPr="00024B31">
        <w:t>Discounting cash flow</w:t>
      </w:r>
    </w:p>
    <w:p w14:paraId="1017C0BC" w14:textId="54EF0791" w:rsidR="0092358B" w:rsidRPr="00293EA5" w:rsidRDefault="0070499C" w:rsidP="0092358B">
      <w:pPr>
        <w:rPr>
          <w:color w:val="000000" w:themeColor="text1"/>
        </w:rPr>
      </w:pPr>
      <w:r w:rsidRPr="00293EA5">
        <w:rPr>
          <w:color w:val="000000" w:themeColor="text1"/>
        </w:rPr>
        <w:t>DCF is us</w:t>
      </w:r>
      <w:r w:rsidR="00924CF9" w:rsidRPr="00293EA5">
        <w:rPr>
          <w:color w:val="000000" w:themeColor="text1"/>
        </w:rPr>
        <w:t xml:space="preserve">ually calculated by internal rate of return (IRR) or net present value (NPV). Using future cash flow IRR adjust the expected FCF for the time value of money. We covered this pretty extensively in previous chapters however, </w:t>
      </w:r>
      <w:r w:rsidR="00543CA8" w:rsidRPr="00293EA5">
        <w:rPr>
          <w:color w:val="000000" w:themeColor="text1"/>
        </w:rPr>
        <w:t xml:space="preserve">we know that when the </w:t>
      </w:r>
      <w:r w:rsidR="00543CA8" w:rsidRPr="00293EA5">
        <w:rPr>
          <w:color w:val="000000" w:themeColor="text1"/>
        </w:rPr>
        <w:t xml:space="preserve">return </w:t>
      </w:r>
      <w:r w:rsidR="00543CA8" w:rsidRPr="00293EA5">
        <w:rPr>
          <w:color w:val="000000" w:themeColor="text1"/>
        </w:rPr>
        <w:t xml:space="preserve">rate </w:t>
      </w:r>
      <w:r w:rsidR="00543CA8" w:rsidRPr="00293EA5">
        <w:rPr>
          <w:color w:val="000000" w:themeColor="text1"/>
        </w:rPr>
        <w:t>where the net present value of the expected future cash flow of the investment equals zero</w:t>
      </w:r>
      <w:r w:rsidR="00543CA8" w:rsidRPr="00293EA5">
        <w:rPr>
          <w:color w:val="000000" w:themeColor="text1"/>
        </w:rPr>
        <w:t xml:space="preserve"> we can then find the IRR. The IRR is worked out as a percentage and when the investment requires </w:t>
      </w:r>
      <w:r w:rsidR="00293EA5" w:rsidRPr="00293EA5">
        <w:rPr>
          <w:color w:val="000000" w:themeColor="text1"/>
        </w:rPr>
        <w:t xml:space="preserve">an </w:t>
      </w:r>
      <w:r w:rsidR="00543CA8" w:rsidRPr="00293EA5">
        <w:rPr>
          <w:color w:val="000000" w:themeColor="text1"/>
        </w:rPr>
        <w:t>expect</w:t>
      </w:r>
      <w:r w:rsidR="00293EA5" w:rsidRPr="00293EA5">
        <w:rPr>
          <w:color w:val="000000" w:themeColor="text1"/>
        </w:rPr>
        <w:t xml:space="preserve">ation </w:t>
      </w:r>
      <w:r w:rsidR="00543CA8" w:rsidRPr="00293EA5">
        <w:rPr>
          <w:color w:val="000000" w:themeColor="text1"/>
        </w:rPr>
        <w:t xml:space="preserve">to provide cash flow to the business over several years, the </w:t>
      </w:r>
      <w:r w:rsidR="00293EA5" w:rsidRPr="00293EA5">
        <w:rPr>
          <w:color w:val="000000" w:themeColor="text1"/>
        </w:rPr>
        <w:t>“</w:t>
      </w:r>
      <w:r w:rsidR="00543CA8" w:rsidRPr="00293EA5">
        <w:rPr>
          <w:color w:val="000000" w:themeColor="text1"/>
        </w:rPr>
        <w:t xml:space="preserve">IRR is the discount rate that will result in the expected future cash flow from the investment </w:t>
      </w:r>
      <w:r w:rsidR="00293EA5" w:rsidRPr="00293EA5">
        <w:rPr>
          <w:color w:val="000000" w:themeColor="text1"/>
        </w:rPr>
        <w:t>equaling</w:t>
      </w:r>
      <w:r w:rsidR="00543CA8" w:rsidRPr="00293EA5">
        <w:rPr>
          <w:color w:val="000000" w:themeColor="text1"/>
        </w:rPr>
        <w:t xml:space="preserve"> the initial investment</w:t>
      </w:r>
      <w:r w:rsidR="00293EA5" w:rsidRPr="00293EA5">
        <w:rPr>
          <w:color w:val="000000" w:themeColor="text1"/>
        </w:rPr>
        <w:t>”.</w:t>
      </w:r>
    </w:p>
    <w:p w14:paraId="710219D1" w14:textId="7A3A4477" w:rsidR="00293EA5" w:rsidRPr="00293EA5" w:rsidRDefault="00293EA5" w:rsidP="0092358B">
      <w:pPr>
        <w:rPr>
          <w:color w:val="000000" w:themeColor="text1"/>
        </w:rPr>
      </w:pPr>
      <w:r w:rsidRPr="00293EA5">
        <w:rPr>
          <w:color w:val="000000" w:themeColor="text1"/>
        </w:rPr>
        <w:t xml:space="preserve">The NPV is calculated as a dollar figure across the investment and attempts to find if the investment will be a “value adding exercise”. The NPV uses a discounting method whereby net cash flow is discounted by a specific rate determined by the capital outlay. </w:t>
      </w:r>
    </w:p>
    <w:p w14:paraId="286187DC" w14:textId="40A5DBDD" w:rsidR="00293EA5" w:rsidRDefault="00293EA5" w:rsidP="0092358B"/>
    <w:p w14:paraId="35F07811" w14:textId="5F8ABF1A" w:rsidR="00293EA5" w:rsidRDefault="00293EA5" w:rsidP="00293EA5">
      <w:pPr>
        <w:pStyle w:val="Heading3"/>
      </w:pPr>
      <w:r>
        <w:lastRenderedPageBreak/>
        <w:t>Conclusion</w:t>
      </w:r>
    </w:p>
    <w:p w14:paraId="68D22581" w14:textId="09238A68" w:rsidR="00293EA5" w:rsidRPr="00293EA5" w:rsidRDefault="00293EA5" w:rsidP="00293EA5">
      <w:pPr>
        <w:rPr>
          <w:color w:val="000000" w:themeColor="text1"/>
        </w:rPr>
      </w:pPr>
      <w:r w:rsidRPr="00293EA5">
        <w:rPr>
          <w:color w:val="000000" w:themeColor="text1"/>
        </w:rPr>
        <w:t>This chapter felt like a summary that allowed the reader to reflect on some of the heavier information we had previously covered in order to prepare for the next 3 steps of this assignment. I have a sneaking suspicion that the chapter will be used as strong reference literature as we finish up this unit.</w:t>
      </w:r>
    </w:p>
    <w:p w14:paraId="2FC766A8" w14:textId="77777777" w:rsidR="00293EA5" w:rsidRPr="00293EA5" w:rsidRDefault="00293EA5" w:rsidP="00293EA5">
      <w:bookmarkStart w:id="5" w:name="_GoBack"/>
      <w:bookmarkEnd w:id="5"/>
    </w:p>
    <w:p w14:paraId="1F5C579F" w14:textId="77777777" w:rsidR="00543CA8" w:rsidRPr="0092358B" w:rsidRDefault="00543CA8" w:rsidP="0092358B"/>
    <w:sectPr w:rsidR="00543CA8" w:rsidRPr="0092358B" w:rsidSect="007B0BB9">
      <w:headerReference w:type="default" r:id="rId9"/>
      <w:footerReference w:type="default" r:id="rId10"/>
      <w:headerReference w:type="first" r:id="rId11"/>
      <w:pgSz w:w="12240" w:h="15840"/>
      <w:pgMar w:top="1728"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7B0BB9" w:rsidRDefault="007B0BB9" w:rsidP="00C6554A">
      <w:pPr>
        <w:spacing w:before="0" w:after="0" w:line="240" w:lineRule="auto"/>
      </w:pPr>
      <w:r>
        <w:separator/>
      </w:r>
    </w:p>
  </w:endnote>
  <w:endnote w:type="continuationSeparator" w:id="0">
    <w:p w14:paraId="68019E22" w14:textId="77777777" w:rsidR="007B0BB9" w:rsidRDefault="007B0BB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altName w:val="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BF20EE" w:rsidRDefault="00BF20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2163EE" w:rsidRDefault="00BF20EE" w:rsidP="00BF20EE">
    <w:pPr>
      <w:pStyle w:val="Footer"/>
      <w:jc w:val="left"/>
    </w:pPr>
    <w:r>
      <w:t>S0090574 – Hayden anderson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7B0BB9" w:rsidRDefault="007B0BB9" w:rsidP="00C6554A">
      <w:pPr>
        <w:spacing w:before="0" w:after="0" w:line="240" w:lineRule="auto"/>
      </w:pPr>
      <w:r>
        <w:separator/>
      </w:r>
    </w:p>
  </w:footnote>
  <w:footnote w:type="continuationSeparator" w:id="0">
    <w:p w14:paraId="557C5746" w14:textId="77777777" w:rsidR="007B0BB9" w:rsidRDefault="007B0BB9"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7B0BB9" w:rsidRPr="007B0BB9" w:rsidRDefault="007B0BB9" w:rsidP="007B0BB9">
    <w:pPr>
      <w:pStyle w:val="Header"/>
    </w:pPr>
    <w:r w:rsidRPr="007B0BB9">
      <w:rPr>
        <w:lang w:val="en-NZ"/>
      </w:rPr>
      <w:t>ACCT11059 ACCOUNTING, LEARNING &amp; ONLINE COMMUNICATION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7B0BB9" w:rsidRDefault="007B0BB9">
    <w:pPr>
      <w:pStyle w:val="Header"/>
    </w:pPr>
    <w:r>
      <w:t>ACCT11059 Accounting, Learning &amp; Online Communication</w:t>
    </w:r>
  </w:p>
  <w:p w14:paraId="7703D010" w14:textId="77777777" w:rsidR="007B0BB9" w:rsidRDefault="007B0B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692008"/>
    <w:multiLevelType w:val="hybridMultilevel"/>
    <w:tmpl w:val="37263686"/>
    <w:lvl w:ilvl="0" w:tplc="A4DABAEC">
      <w:numFmt w:val="bullet"/>
      <w:lvlText w:val=""/>
      <w:lvlJc w:val="left"/>
      <w:pPr>
        <w:ind w:left="1080" w:hanging="360"/>
      </w:pPr>
      <w:rPr>
        <w:rFonts w:ascii="Constantia" w:eastAsiaTheme="minorHAnsi" w:hAnsi="Constantia" w:cstheme="minorBidi"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33087F80"/>
    <w:multiLevelType w:val="hybridMultilevel"/>
    <w:tmpl w:val="4C142E4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A0B7FAA"/>
    <w:multiLevelType w:val="hybridMultilevel"/>
    <w:tmpl w:val="8C7632D0"/>
    <w:lvl w:ilvl="0" w:tplc="A4DABAEC">
      <w:numFmt w:val="bullet"/>
      <w:lvlText w:val=""/>
      <w:lvlJc w:val="left"/>
      <w:pPr>
        <w:ind w:left="720" w:hanging="360"/>
      </w:pPr>
      <w:rPr>
        <w:rFonts w:ascii="Constantia" w:eastAsiaTheme="minorHAnsi" w:hAnsi="Constantia"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5FB6A3E"/>
    <w:multiLevelType w:val="hybridMultilevel"/>
    <w:tmpl w:val="596C1D58"/>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5"/>
  </w:num>
  <w:num w:numId="6">
    <w:abstractNumId w:val="10"/>
  </w:num>
  <w:num w:numId="7">
    <w:abstractNumId w:val="12"/>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3"/>
  </w:num>
  <w:num w:numId="17">
    <w:abstractNumId w:val="14"/>
  </w:num>
  <w:num w:numId="18">
    <w:abstractNumId w:val="11"/>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12598"/>
    <w:rsid w:val="000241C5"/>
    <w:rsid w:val="00024B31"/>
    <w:rsid w:val="00092453"/>
    <w:rsid w:val="00095CAA"/>
    <w:rsid w:val="000B4636"/>
    <w:rsid w:val="000B4A23"/>
    <w:rsid w:val="000E766F"/>
    <w:rsid w:val="000F0ECD"/>
    <w:rsid w:val="00122494"/>
    <w:rsid w:val="00165F81"/>
    <w:rsid w:val="001710F1"/>
    <w:rsid w:val="001972F5"/>
    <w:rsid w:val="00211CC1"/>
    <w:rsid w:val="00213200"/>
    <w:rsid w:val="00217039"/>
    <w:rsid w:val="002554CD"/>
    <w:rsid w:val="00267A41"/>
    <w:rsid w:val="00281DCC"/>
    <w:rsid w:val="00293B83"/>
    <w:rsid w:val="00293EA5"/>
    <w:rsid w:val="002B1879"/>
    <w:rsid w:val="002B4294"/>
    <w:rsid w:val="002C7263"/>
    <w:rsid w:val="002E38CB"/>
    <w:rsid w:val="00315829"/>
    <w:rsid w:val="00320ED8"/>
    <w:rsid w:val="00333D0D"/>
    <w:rsid w:val="00362542"/>
    <w:rsid w:val="003E25B9"/>
    <w:rsid w:val="004C049F"/>
    <w:rsid w:val="004E4731"/>
    <w:rsid w:val="005000E2"/>
    <w:rsid w:val="00543CA8"/>
    <w:rsid w:val="00552960"/>
    <w:rsid w:val="005A70A3"/>
    <w:rsid w:val="005C17DE"/>
    <w:rsid w:val="00660427"/>
    <w:rsid w:val="006956A5"/>
    <w:rsid w:val="006A3CE7"/>
    <w:rsid w:val="006B5872"/>
    <w:rsid w:val="006C740D"/>
    <w:rsid w:val="006F3141"/>
    <w:rsid w:val="006F7AB8"/>
    <w:rsid w:val="0070499C"/>
    <w:rsid w:val="00771F25"/>
    <w:rsid w:val="0078459C"/>
    <w:rsid w:val="007A4BB5"/>
    <w:rsid w:val="007B0BB9"/>
    <w:rsid w:val="00830A66"/>
    <w:rsid w:val="00853C1B"/>
    <w:rsid w:val="00875E98"/>
    <w:rsid w:val="0088670C"/>
    <w:rsid w:val="0088725D"/>
    <w:rsid w:val="0092358B"/>
    <w:rsid w:val="00924CF9"/>
    <w:rsid w:val="00944690"/>
    <w:rsid w:val="009B17BC"/>
    <w:rsid w:val="009C4529"/>
    <w:rsid w:val="009E50BF"/>
    <w:rsid w:val="00A20E88"/>
    <w:rsid w:val="00AA1092"/>
    <w:rsid w:val="00B12E97"/>
    <w:rsid w:val="00BA4C66"/>
    <w:rsid w:val="00BD38F6"/>
    <w:rsid w:val="00BE3AC5"/>
    <w:rsid w:val="00BF20EE"/>
    <w:rsid w:val="00C252F0"/>
    <w:rsid w:val="00C6554A"/>
    <w:rsid w:val="00CB69E9"/>
    <w:rsid w:val="00CF55C7"/>
    <w:rsid w:val="00D262DE"/>
    <w:rsid w:val="00D61F38"/>
    <w:rsid w:val="00DB0878"/>
    <w:rsid w:val="00E15B8F"/>
    <w:rsid w:val="00E47915"/>
    <w:rsid w:val="00E7500F"/>
    <w:rsid w:val="00EB64F3"/>
    <w:rsid w:val="00ED7C44"/>
    <w:rsid w:val="00F37FE2"/>
    <w:rsid w:val="00F628AF"/>
    <w:rsid w:val="00F83BAC"/>
    <w:rsid w:val="00FD0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4">
    <w:name w:val="heading 4"/>
    <w:basedOn w:val="Normal"/>
    <w:next w:val="Normal"/>
    <w:link w:val="Heading4Char"/>
    <w:uiPriority w:val="9"/>
    <w:unhideWhenUsed/>
    <w:qFormat/>
    <w:rsid w:val="0092358B"/>
    <w:pPr>
      <w:keepNext/>
      <w:keepLines/>
      <w:spacing w:before="40" w:after="0"/>
      <w:outlineLvl w:val="3"/>
    </w:pPr>
    <w:rPr>
      <w:rFonts w:asciiTheme="majorHAnsi" w:eastAsiaTheme="majorEastAsia" w:hAnsiTheme="majorHAnsi" w:cstheme="majorBidi"/>
      <w:i/>
      <w:iCs/>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C252F0"/>
    <w:rPr>
      <w:color w:val="605E5C"/>
      <w:shd w:val="clear" w:color="auto" w:fill="E1DFDD"/>
    </w:rPr>
  </w:style>
  <w:style w:type="paragraph" w:styleId="ListParagraph">
    <w:name w:val="List Paragraph"/>
    <w:basedOn w:val="Normal"/>
    <w:uiPriority w:val="34"/>
    <w:unhideWhenUsed/>
    <w:qFormat/>
    <w:rsid w:val="00A20E88"/>
    <w:pPr>
      <w:ind w:left="720"/>
      <w:contextualSpacing/>
    </w:pPr>
  </w:style>
  <w:style w:type="character" w:customStyle="1" w:styleId="Heading4Char">
    <w:name w:val="Heading 4 Char"/>
    <w:basedOn w:val="DefaultParagraphFont"/>
    <w:link w:val="Heading4"/>
    <w:uiPriority w:val="9"/>
    <w:rsid w:val="0092358B"/>
    <w:rPr>
      <w:rFonts w:asciiTheme="majorHAnsi" w:eastAsiaTheme="majorEastAsia" w:hAnsiTheme="majorHAnsi" w:cstheme="majorBidi"/>
      <w:i/>
      <w:iCs/>
      <w:color w:val="007789"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 w:id="627128463">
      <w:bodyDiv w:val="1"/>
      <w:marLeft w:val="0"/>
      <w:marRight w:val="0"/>
      <w:marTop w:val="0"/>
      <w:marBottom w:val="0"/>
      <w:divBdr>
        <w:top w:val="none" w:sz="0" w:space="0" w:color="auto"/>
        <w:left w:val="none" w:sz="0" w:space="0" w:color="auto"/>
        <w:bottom w:val="none" w:sz="0" w:space="0" w:color="auto"/>
        <w:right w:val="none" w:sz="0" w:space="0" w:color="auto"/>
      </w:divBdr>
    </w:div>
    <w:div w:id="1145124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Student report with photo</Template>
  <TotalTime>14</TotalTime>
  <Pages>5</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Hayden Anderson</cp:lastModifiedBy>
  <cp:revision>3</cp:revision>
  <dcterms:created xsi:type="dcterms:W3CDTF">2019-05-26T10:03:00Z</dcterms:created>
  <dcterms:modified xsi:type="dcterms:W3CDTF">2019-05-26T10:17:00Z</dcterms:modified>
</cp:coreProperties>
</file>