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B1169B9" w14:textId="7D1C2BBA" w:rsidR="00C6554A" w:rsidRPr="008B5277" w:rsidRDefault="00C6554A" w:rsidP="00C6554A">
      <w:pPr>
        <w:pStyle w:val="Photo"/>
      </w:pPr>
      <w:bookmarkStart w:id="0" w:name="_Toc321147149"/>
      <w:bookmarkStart w:id="1" w:name="_Toc318188227"/>
      <w:bookmarkStart w:id="2" w:name="_Toc318188327"/>
      <w:bookmarkStart w:id="3" w:name="_Toc318189312"/>
      <w:bookmarkStart w:id="4" w:name="_Toc321147011"/>
    </w:p>
    <w:bookmarkEnd w:id="0"/>
    <w:bookmarkEnd w:id="1"/>
    <w:bookmarkEnd w:id="2"/>
    <w:bookmarkEnd w:id="3"/>
    <w:bookmarkEnd w:id="4"/>
    <w:p w14:paraId="025BDAF9" w14:textId="77777777" w:rsidR="007B0BB9" w:rsidRDefault="007B0BB9" w:rsidP="00C6554A">
      <w:pPr>
        <w:pStyle w:val="Title"/>
      </w:pPr>
    </w:p>
    <w:p w14:paraId="3A1A1546" w14:textId="77777777" w:rsidR="007B0BB9" w:rsidRDefault="007B0BB9" w:rsidP="00C6554A">
      <w:pPr>
        <w:pStyle w:val="Title"/>
      </w:pPr>
    </w:p>
    <w:p w14:paraId="7326EFDE" w14:textId="77777777" w:rsidR="007B0BB9" w:rsidRDefault="007B0BB9" w:rsidP="00C6554A">
      <w:pPr>
        <w:pStyle w:val="Title"/>
      </w:pPr>
    </w:p>
    <w:p w14:paraId="6611E85F" w14:textId="15AEEF81" w:rsidR="00C6554A" w:rsidRDefault="007B0BB9" w:rsidP="00C6554A">
      <w:pPr>
        <w:pStyle w:val="Title"/>
      </w:pPr>
      <w:r w:rsidRPr="007B0BB9">
        <w:t>ACCT11059 Accounting, Learning &amp; Online Communication</w:t>
      </w:r>
    </w:p>
    <w:p w14:paraId="580C829D" w14:textId="30E63B7C" w:rsidR="00C6554A" w:rsidRPr="001972F5" w:rsidRDefault="007B0BB9" w:rsidP="00C6554A">
      <w:pPr>
        <w:pStyle w:val="Subtitle"/>
        <w:rPr>
          <w:color w:val="auto"/>
        </w:rPr>
      </w:pPr>
      <w:r w:rsidRPr="001972F5">
        <w:rPr>
          <w:color w:val="auto"/>
        </w:rPr>
        <w:t>ASS#</w:t>
      </w:r>
      <w:r w:rsidR="006F3141" w:rsidRPr="001972F5">
        <w:rPr>
          <w:color w:val="auto"/>
        </w:rPr>
        <w:t>2</w:t>
      </w:r>
    </w:p>
    <w:p w14:paraId="5196D61E" w14:textId="77777777" w:rsidR="007B0BB9" w:rsidRPr="001972F5" w:rsidRDefault="007B0BB9" w:rsidP="007B0BB9">
      <w:pPr>
        <w:pStyle w:val="ContactInfo"/>
        <w:rPr>
          <w:color w:val="auto"/>
        </w:rPr>
      </w:pPr>
      <w:r w:rsidRPr="001972F5">
        <w:rPr>
          <w:color w:val="auto"/>
        </w:rPr>
        <w:t>Hayden Anderson</w:t>
      </w:r>
      <w:r w:rsidR="00C6554A" w:rsidRPr="001972F5">
        <w:rPr>
          <w:color w:val="auto"/>
        </w:rPr>
        <w:t xml:space="preserve"> | </w:t>
      </w:r>
      <w:r w:rsidRPr="001972F5">
        <w:rPr>
          <w:color w:val="auto"/>
        </w:rPr>
        <w:t>S0090574</w:t>
      </w:r>
      <w:r w:rsidR="00C6554A" w:rsidRPr="001972F5">
        <w:rPr>
          <w:color w:val="auto"/>
        </w:rPr>
        <w:t xml:space="preserve"> |</w:t>
      </w:r>
      <w:r w:rsidRPr="001972F5">
        <w:rPr>
          <w:color w:val="auto"/>
        </w:rPr>
        <w:t>CQUniversity</w:t>
      </w:r>
    </w:p>
    <w:p w14:paraId="72FBB5C5" w14:textId="6877A8E2" w:rsidR="00C6554A" w:rsidRDefault="00C6554A" w:rsidP="007B0BB9">
      <w:pPr>
        <w:pStyle w:val="ContactInfo"/>
      </w:pPr>
      <w:r>
        <w:br w:type="page"/>
      </w:r>
    </w:p>
    <w:p w14:paraId="7B01F026" w14:textId="2930AB5D" w:rsidR="006F3141" w:rsidRDefault="007B0BB9" w:rsidP="00CB69E9">
      <w:pPr>
        <w:pStyle w:val="Heading1"/>
      </w:pPr>
      <w:r>
        <w:lastRenderedPageBreak/>
        <w:t xml:space="preserve">Step </w:t>
      </w:r>
      <w:r w:rsidR="006957A6">
        <w:t>7</w:t>
      </w:r>
      <w:r w:rsidR="00D262DE">
        <w:t xml:space="preserve">: </w:t>
      </w:r>
      <w:r w:rsidR="005F4935">
        <w:t>AIA Products &amp; Services</w:t>
      </w:r>
    </w:p>
    <w:p w14:paraId="4B2AD359" w14:textId="77777777" w:rsidR="005F4935" w:rsidRPr="005F4935" w:rsidRDefault="005F4935" w:rsidP="005F4935"/>
    <w:tbl>
      <w:tblPr>
        <w:tblStyle w:val="GridTable5Dark-Accent6"/>
        <w:tblW w:w="98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63"/>
        <w:gridCol w:w="1963"/>
        <w:gridCol w:w="1963"/>
        <w:gridCol w:w="1963"/>
        <w:gridCol w:w="1963"/>
      </w:tblGrid>
      <w:tr w:rsidR="00954870" w14:paraId="6748B8C3" w14:textId="77777777" w:rsidTr="00954870">
        <w:trPr>
          <w:cnfStyle w:val="100000000000" w:firstRow="1" w:lastRow="0" w:firstColumn="0" w:lastColumn="0" w:oddVBand="0" w:evenVBand="0" w:oddHBand="0" w:evenHBand="0" w:firstRowFirstColumn="0" w:firstRowLastColumn="0" w:lastRowFirstColumn="0" w:lastRowLastColumn="0"/>
          <w:trHeight w:val="947"/>
        </w:trPr>
        <w:tc>
          <w:tcPr>
            <w:cnfStyle w:val="001000000000" w:firstRow="0" w:lastRow="0" w:firstColumn="1" w:lastColumn="0" w:oddVBand="0" w:evenVBand="0" w:oddHBand="0" w:evenHBand="0" w:firstRowFirstColumn="0" w:firstRowLastColumn="0" w:lastRowFirstColumn="0" w:lastRowLastColumn="0"/>
            <w:tcW w:w="1963" w:type="dxa"/>
            <w:tcBorders>
              <w:top w:val="none" w:sz="0" w:space="0" w:color="auto"/>
              <w:left w:val="none" w:sz="0" w:space="0" w:color="auto"/>
              <w:right w:val="none" w:sz="0" w:space="0" w:color="auto"/>
            </w:tcBorders>
          </w:tcPr>
          <w:p w14:paraId="24FF4CD4" w14:textId="08A43696" w:rsidR="00954870" w:rsidRPr="00954870" w:rsidRDefault="00954870" w:rsidP="00D262DE">
            <w:pPr>
              <w:pStyle w:val="Heading3"/>
              <w:outlineLvl w:val="2"/>
              <w:rPr>
                <w:color w:val="FFFFFF" w:themeColor="background1"/>
                <w:sz w:val="32"/>
              </w:rPr>
            </w:pPr>
            <w:r w:rsidRPr="00954870">
              <w:rPr>
                <w:color w:val="FFFFFF" w:themeColor="background1"/>
                <w:sz w:val="32"/>
              </w:rPr>
              <w:t>PRODUCT</w:t>
            </w:r>
          </w:p>
        </w:tc>
        <w:tc>
          <w:tcPr>
            <w:tcW w:w="1963" w:type="dxa"/>
            <w:tcBorders>
              <w:top w:val="none" w:sz="0" w:space="0" w:color="auto"/>
              <w:left w:val="none" w:sz="0" w:space="0" w:color="auto"/>
              <w:right w:val="none" w:sz="0" w:space="0" w:color="auto"/>
            </w:tcBorders>
          </w:tcPr>
          <w:p w14:paraId="7133280C" w14:textId="037107B3" w:rsidR="00954870" w:rsidRPr="00954870" w:rsidRDefault="00954870" w:rsidP="00D262DE">
            <w:pPr>
              <w:pStyle w:val="Heading3"/>
              <w:outlineLvl w:val="2"/>
              <w:cnfStyle w:val="100000000000" w:firstRow="1" w:lastRow="0" w:firstColumn="0" w:lastColumn="0" w:oddVBand="0" w:evenVBand="0" w:oddHBand="0" w:evenHBand="0" w:firstRowFirstColumn="0" w:firstRowLastColumn="0" w:lastRowFirstColumn="0" w:lastRowLastColumn="0"/>
              <w:rPr>
                <w:color w:val="FFFFFF" w:themeColor="background1"/>
                <w:sz w:val="32"/>
              </w:rPr>
            </w:pPr>
            <w:r w:rsidRPr="00954870">
              <w:rPr>
                <w:color w:val="FFFFFF" w:themeColor="background1"/>
                <w:sz w:val="32"/>
              </w:rPr>
              <w:t>EST</w:t>
            </w:r>
            <w:r>
              <w:rPr>
                <w:color w:val="FFFFFF" w:themeColor="background1"/>
                <w:sz w:val="32"/>
              </w:rPr>
              <w:t>.</w:t>
            </w:r>
            <w:r w:rsidRPr="00954870">
              <w:rPr>
                <w:color w:val="FFFFFF" w:themeColor="background1"/>
                <w:sz w:val="32"/>
              </w:rPr>
              <w:t xml:space="preserve"> SELL PRICE</w:t>
            </w:r>
          </w:p>
        </w:tc>
        <w:tc>
          <w:tcPr>
            <w:tcW w:w="1963" w:type="dxa"/>
            <w:tcBorders>
              <w:top w:val="none" w:sz="0" w:space="0" w:color="auto"/>
              <w:left w:val="none" w:sz="0" w:space="0" w:color="auto"/>
              <w:right w:val="none" w:sz="0" w:space="0" w:color="auto"/>
            </w:tcBorders>
          </w:tcPr>
          <w:p w14:paraId="529435B1" w14:textId="575728BF" w:rsidR="00954870" w:rsidRPr="00954870" w:rsidRDefault="00954870" w:rsidP="00D262DE">
            <w:pPr>
              <w:pStyle w:val="Heading3"/>
              <w:outlineLvl w:val="2"/>
              <w:cnfStyle w:val="100000000000" w:firstRow="1" w:lastRow="0" w:firstColumn="0" w:lastColumn="0" w:oddVBand="0" w:evenVBand="0" w:oddHBand="0" w:evenHBand="0" w:firstRowFirstColumn="0" w:firstRowLastColumn="0" w:lastRowFirstColumn="0" w:lastRowLastColumn="0"/>
              <w:rPr>
                <w:color w:val="FFFFFF" w:themeColor="background1"/>
                <w:sz w:val="32"/>
              </w:rPr>
            </w:pPr>
            <w:r w:rsidRPr="00954870">
              <w:rPr>
                <w:color w:val="FFFFFF" w:themeColor="background1"/>
                <w:sz w:val="32"/>
              </w:rPr>
              <w:t>V.C</w:t>
            </w:r>
          </w:p>
        </w:tc>
        <w:tc>
          <w:tcPr>
            <w:tcW w:w="1963" w:type="dxa"/>
            <w:tcBorders>
              <w:top w:val="none" w:sz="0" w:space="0" w:color="auto"/>
              <w:left w:val="none" w:sz="0" w:space="0" w:color="auto"/>
              <w:right w:val="none" w:sz="0" w:space="0" w:color="auto"/>
            </w:tcBorders>
          </w:tcPr>
          <w:p w14:paraId="1ADC9F58" w14:textId="53C863BE" w:rsidR="00954870" w:rsidRPr="00954870" w:rsidRDefault="00954870" w:rsidP="00D262DE">
            <w:pPr>
              <w:pStyle w:val="Heading3"/>
              <w:outlineLvl w:val="2"/>
              <w:cnfStyle w:val="100000000000" w:firstRow="1" w:lastRow="0" w:firstColumn="0" w:lastColumn="0" w:oddVBand="0" w:evenVBand="0" w:oddHBand="0" w:evenHBand="0" w:firstRowFirstColumn="0" w:firstRowLastColumn="0" w:lastRowFirstColumn="0" w:lastRowLastColumn="0"/>
              <w:rPr>
                <w:color w:val="FFFFFF" w:themeColor="background1"/>
                <w:sz w:val="32"/>
              </w:rPr>
            </w:pPr>
            <w:r w:rsidRPr="00954870">
              <w:rPr>
                <w:color w:val="FFFFFF" w:themeColor="background1"/>
                <w:sz w:val="32"/>
              </w:rPr>
              <w:t>C.M $</w:t>
            </w:r>
          </w:p>
        </w:tc>
        <w:tc>
          <w:tcPr>
            <w:tcW w:w="1963" w:type="dxa"/>
            <w:tcBorders>
              <w:top w:val="none" w:sz="0" w:space="0" w:color="auto"/>
              <w:left w:val="none" w:sz="0" w:space="0" w:color="auto"/>
              <w:right w:val="none" w:sz="0" w:space="0" w:color="auto"/>
            </w:tcBorders>
          </w:tcPr>
          <w:p w14:paraId="1CD9B6DB" w14:textId="3F070CDD" w:rsidR="00954870" w:rsidRPr="00954870" w:rsidRDefault="00954870" w:rsidP="00D262DE">
            <w:pPr>
              <w:pStyle w:val="Heading3"/>
              <w:outlineLvl w:val="2"/>
              <w:cnfStyle w:val="100000000000" w:firstRow="1" w:lastRow="0" w:firstColumn="0" w:lastColumn="0" w:oddVBand="0" w:evenVBand="0" w:oddHBand="0" w:evenHBand="0" w:firstRowFirstColumn="0" w:firstRowLastColumn="0" w:lastRowFirstColumn="0" w:lastRowLastColumn="0"/>
              <w:rPr>
                <w:color w:val="FFFFFF" w:themeColor="background1"/>
                <w:sz w:val="32"/>
              </w:rPr>
            </w:pPr>
            <w:r w:rsidRPr="00954870">
              <w:rPr>
                <w:color w:val="FFFFFF" w:themeColor="background1"/>
                <w:sz w:val="32"/>
              </w:rPr>
              <w:t>C.M%</w:t>
            </w:r>
          </w:p>
        </w:tc>
      </w:tr>
      <w:tr w:rsidR="00954870" w14:paraId="16DD4133" w14:textId="77777777" w:rsidTr="00954870">
        <w:trPr>
          <w:cnfStyle w:val="000000100000" w:firstRow="0" w:lastRow="0" w:firstColumn="0" w:lastColumn="0" w:oddVBand="0" w:evenVBand="0" w:oddHBand="1" w:evenHBand="0" w:firstRowFirstColumn="0" w:firstRowLastColumn="0" w:lastRowFirstColumn="0" w:lastRowLastColumn="0"/>
          <w:trHeight w:val="496"/>
        </w:trPr>
        <w:tc>
          <w:tcPr>
            <w:cnfStyle w:val="001000000000" w:firstRow="0" w:lastRow="0" w:firstColumn="1" w:lastColumn="0" w:oddVBand="0" w:evenVBand="0" w:oddHBand="0" w:evenHBand="0" w:firstRowFirstColumn="0" w:firstRowLastColumn="0" w:lastRowFirstColumn="0" w:lastRowLastColumn="0"/>
            <w:tcW w:w="1963" w:type="dxa"/>
            <w:tcBorders>
              <w:left w:val="none" w:sz="0" w:space="0" w:color="auto"/>
            </w:tcBorders>
          </w:tcPr>
          <w:p w14:paraId="6BE4FC6F" w14:textId="00459C81" w:rsidR="00954870" w:rsidRPr="00954870" w:rsidRDefault="00954870" w:rsidP="00D262DE">
            <w:pPr>
              <w:pStyle w:val="Heading3"/>
              <w:outlineLvl w:val="2"/>
              <w:rPr>
                <w:sz w:val="28"/>
              </w:rPr>
            </w:pPr>
            <w:r w:rsidRPr="00954870">
              <w:rPr>
                <w:sz w:val="28"/>
              </w:rPr>
              <w:t>Car Parking</w:t>
            </w:r>
          </w:p>
        </w:tc>
        <w:tc>
          <w:tcPr>
            <w:tcW w:w="1963" w:type="dxa"/>
          </w:tcPr>
          <w:p w14:paraId="4AB5283B" w14:textId="2FDD7B29" w:rsidR="00954870" w:rsidRPr="00954870" w:rsidRDefault="00954870" w:rsidP="00D262DE">
            <w:pPr>
              <w:pStyle w:val="Heading3"/>
              <w:outlineLvl w:val="2"/>
              <w:cnfStyle w:val="000000100000" w:firstRow="0" w:lastRow="0" w:firstColumn="0" w:lastColumn="0" w:oddVBand="0" w:evenVBand="0" w:oddHBand="1" w:evenHBand="0" w:firstRowFirstColumn="0" w:firstRowLastColumn="0" w:lastRowFirstColumn="0" w:lastRowLastColumn="0"/>
              <w:rPr>
                <w:sz w:val="32"/>
              </w:rPr>
            </w:pPr>
            <w:r w:rsidRPr="00954870">
              <w:rPr>
                <w:sz w:val="32"/>
              </w:rPr>
              <w:t>$35</w:t>
            </w:r>
          </w:p>
        </w:tc>
        <w:tc>
          <w:tcPr>
            <w:tcW w:w="1963" w:type="dxa"/>
          </w:tcPr>
          <w:p w14:paraId="22D54DA8" w14:textId="541F9985" w:rsidR="00954870" w:rsidRPr="00954870" w:rsidRDefault="00954870" w:rsidP="00D262DE">
            <w:pPr>
              <w:pStyle w:val="Heading3"/>
              <w:outlineLvl w:val="2"/>
              <w:cnfStyle w:val="000000100000" w:firstRow="0" w:lastRow="0" w:firstColumn="0" w:lastColumn="0" w:oddVBand="0" w:evenVBand="0" w:oddHBand="1" w:evenHBand="0" w:firstRowFirstColumn="0" w:firstRowLastColumn="0" w:lastRowFirstColumn="0" w:lastRowLastColumn="0"/>
              <w:rPr>
                <w:sz w:val="32"/>
              </w:rPr>
            </w:pPr>
            <w:r w:rsidRPr="00954870">
              <w:rPr>
                <w:sz w:val="32"/>
              </w:rPr>
              <w:t>$7</w:t>
            </w:r>
          </w:p>
        </w:tc>
        <w:tc>
          <w:tcPr>
            <w:tcW w:w="1963" w:type="dxa"/>
          </w:tcPr>
          <w:p w14:paraId="6C10E0EC" w14:textId="17785450" w:rsidR="00954870" w:rsidRPr="00954870" w:rsidRDefault="00954870" w:rsidP="00D262DE">
            <w:pPr>
              <w:pStyle w:val="Heading3"/>
              <w:outlineLvl w:val="2"/>
              <w:cnfStyle w:val="000000100000" w:firstRow="0" w:lastRow="0" w:firstColumn="0" w:lastColumn="0" w:oddVBand="0" w:evenVBand="0" w:oddHBand="1" w:evenHBand="0" w:firstRowFirstColumn="0" w:firstRowLastColumn="0" w:lastRowFirstColumn="0" w:lastRowLastColumn="0"/>
              <w:rPr>
                <w:sz w:val="32"/>
              </w:rPr>
            </w:pPr>
            <w:r w:rsidRPr="00954870">
              <w:rPr>
                <w:sz w:val="32"/>
              </w:rPr>
              <w:t>$28</w:t>
            </w:r>
          </w:p>
        </w:tc>
        <w:tc>
          <w:tcPr>
            <w:tcW w:w="1963" w:type="dxa"/>
          </w:tcPr>
          <w:p w14:paraId="5E91B518" w14:textId="459262F0" w:rsidR="00954870" w:rsidRPr="00954870" w:rsidRDefault="00954870" w:rsidP="00D262DE">
            <w:pPr>
              <w:pStyle w:val="Heading3"/>
              <w:outlineLvl w:val="2"/>
              <w:cnfStyle w:val="000000100000" w:firstRow="0" w:lastRow="0" w:firstColumn="0" w:lastColumn="0" w:oddVBand="0" w:evenVBand="0" w:oddHBand="1" w:evenHBand="0" w:firstRowFirstColumn="0" w:firstRowLastColumn="0" w:lastRowFirstColumn="0" w:lastRowLastColumn="0"/>
              <w:rPr>
                <w:sz w:val="32"/>
              </w:rPr>
            </w:pPr>
            <w:r w:rsidRPr="00954870">
              <w:rPr>
                <w:sz w:val="32"/>
              </w:rPr>
              <w:t>80%</w:t>
            </w:r>
          </w:p>
        </w:tc>
      </w:tr>
      <w:tr w:rsidR="00954870" w14:paraId="5F5CDD52" w14:textId="77777777" w:rsidTr="00954870">
        <w:trPr>
          <w:trHeight w:val="932"/>
        </w:trPr>
        <w:tc>
          <w:tcPr>
            <w:cnfStyle w:val="001000000000" w:firstRow="0" w:lastRow="0" w:firstColumn="1" w:lastColumn="0" w:oddVBand="0" w:evenVBand="0" w:oddHBand="0" w:evenHBand="0" w:firstRowFirstColumn="0" w:firstRowLastColumn="0" w:lastRowFirstColumn="0" w:lastRowLastColumn="0"/>
            <w:tcW w:w="1963" w:type="dxa"/>
            <w:tcBorders>
              <w:left w:val="none" w:sz="0" w:space="0" w:color="auto"/>
            </w:tcBorders>
          </w:tcPr>
          <w:p w14:paraId="411AEF16" w14:textId="64F7CCA7" w:rsidR="00954870" w:rsidRPr="00954870" w:rsidRDefault="00954870" w:rsidP="00D262DE">
            <w:pPr>
              <w:pStyle w:val="Heading3"/>
              <w:outlineLvl w:val="2"/>
              <w:rPr>
                <w:sz w:val="28"/>
              </w:rPr>
            </w:pPr>
            <w:r w:rsidRPr="00954870">
              <w:rPr>
                <w:sz w:val="28"/>
              </w:rPr>
              <w:t>Retail Rental Income</w:t>
            </w:r>
          </w:p>
        </w:tc>
        <w:tc>
          <w:tcPr>
            <w:tcW w:w="1963" w:type="dxa"/>
          </w:tcPr>
          <w:p w14:paraId="4152E341" w14:textId="3F9D4546" w:rsidR="00954870" w:rsidRPr="00954870" w:rsidRDefault="00954870" w:rsidP="00D262DE">
            <w:pPr>
              <w:pStyle w:val="Heading3"/>
              <w:outlineLvl w:val="2"/>
              <w:cnfStyle w:val="000000000000" w:firstRow="0" w:lastRow="0" w:firstColumn="0" w:lastColumn="0" w:oddVBand="0" w:evenVBand="0" w:oddHBand="0" w:evenHBand="0" w:firstRowFirstColumn="0" w:firstRowLastColumn="0" w:lastRowFirstColumn="0" w:lastRowLastColumn="0"/>
              <w:rPr>
                <w:sz w:val="32"/>
              </w:rPr>
            </w:pPr>
            <w:r w:rsidRPr="00954870">
              <w:rPr>
                <w:sz w:val="32"/>
              </w:rPr>
              <w:t>$25,000</w:t>
            </w:r>
          </w:p>
        </w:tc>
        <w:tc>
          <w:tcPr>
            <w:tcW w:w="1963" w:type="dxa"/>
          </w:tcPr>
          <w:p w14:paraId="23E4FA4C" w14:textId="3D67150F" w:rsidR="00954870" w:rsidRPr="00954870" w:rsidRDefault="00954870" w:rsidP="00D262DE">
            <w:pPr>
              <w:pStyle w:val="Heading3"/>
              <w:outlineLvl w:val="2"/>
              <w:cnfStyle w:val="000000000000" w:firstRow="0" w:lastRow="0" w:firstColumn="0" w:lastColumn="0" w:oddVBand="0" w:evenVBand="0" w:oddHBand="0" w:evenHBand="0" w:firstRowFirstColumn="0" w:firstRowLastColumn="0" w:lastRowFirstColumn="0" w:lastRowLastColumn="0"/>
              <w:rPr>
                <w:sz w:val="32"/>
              </w:rPr>
            </w:pPr>
            <w:r w:rsidRPr="00954870">
              <w:rPr>
                <w:sz w:val="32"/>
              </w:rPr>
              <w:t>$3,000</w:t>
            </w:r>
          </w:p>
        </w:tc>
        <w:tc>
          <w:tcPr>
            <w:tcW w:w="1963" w:type="dxa"/>
          </w:tcPr>
          <w:p w14:paraId="22630C9A" w14:textId="711416FE" w:rsidR="00954870" w:rsidRPr="00954870" w:rsidRDefault="00954870" w:rsidP="00D262DE">
            <w:pPr>
              <w:pStyle w:val="Heading3"/>
              <w:outlineLvl w:val="2"/>
              <w:cnfStyle w:val="000000000000" w:firstRow="0" w:lastRow="0" w:firstColumn="0" w:lastColumn="0" w:oddVBand="0" w:evenVBand="0" w:oddHBand="0" w:evenHBand="0" w:firstRowFirstColumn="0" w:firstRowLastColumn="0" w:lastRowFirstColumn="0" w:lastRowLastColumn="0"/>
              <w:rPr>
                <w:sz w:val="32"/>
              </w:rPr>
            </w:pPr>
            <w:r w:rsidRPr="00954870">
              <w:rPr>
                <w:sz w:val="32"/>
              </w:rPr>
              <w:t>$22,000</w:t>
            </w:r>
          </w:p>
        </w:tc>
        <w:tc>
          <w:tcPr>
            <w:tcW w:w="1963" w:type="dxa"/>
          </w:tcPr>
          <w:p w14:paraId="4CE7455D" w14:textId="27625799" w:rsidR="00954870" w:rsidRPr="00954870" w:rsidRDefault="00954870" w:rsidP="00D262DE">
            <w:pPr>
              <w:pStyle w:val="Heading3"/>
              <w:outlineLvl w:val="2"/>
              <w:cnfStyle w:val="000000000000" w:firstRow="0" w:lastRow="0" w:firstColumn="0" w:lastColumn="0" w:oddVBand="0" w:evenVBand="0" w:oddHBand="0" w:evenHBand="0" w:firstRowFirstColumn="0" w:firstRowLastColumn="0" w:lastRowFirstColumn="0" w:lastRowLastColumn="0"/>
              <w:rPr>
                <w:sz w:val="32"/>
              </w:rPr>
            </w:pPr>
            <w:r w:rsidRPr="00954870">
              <w:rPr>
                <w:sz w:val="32"/>
              </w:rPr>
              <w:t>88%</w:t>
            </w:r>
          </w:p>
        </w:tc>
      </w:tr>
      <w:tr w:rsidR="00954870" w14:paraId="5503DFBA" w14:textId="77777777" w:rsidTr="00954870">
        <w:trPr>
          <w:cnfStyle w:val="000000100000" w:firstRow="0" w:lastRow="0" w:firstColumn="0" w:lastColumn="0" w:oddVBand="0" w:evenVBand="0" w:oddHBand="1" w:evenHBand="0" w:firstRowFirstColumn="0" w:firstRowLastColumn="0" w:lastRowFirstColumn="0" w:lastRowLastColumn="0"/>
          <w:trHeight w:val="1383"/>
        </w:trPr>
        <w:tc>
          <w:tcPr>
            <w:cnfStyle w:val="001000000000" w:firstRow="0" w:lastRow="0" w:firstColumn="1" w:lastColumn="0" w:oddVBand="0" w:evenVBand="0" w:oddHBand="0" w:evenHBand="0" w:firstRowFirstColumn="0" w:firstRowLastColumn="0" w:lastRowFirstColumn="0" w:lastRowLastColumn="0"/>
            <w:tcW w:w="1963" w:type="dxa"/>
            <w:tcBorders>
              <w:left w:val="none" w:sz="0" w:space="0" w:color="auto"/>
              <w:bottom w:val="none" w:sz="0" w:space="0" w:color="auto"/>
            </w:tcBorders>
          </w:tcPr>
          <w:p w14:paraId="08A37925" w14:textId="22A01313" w:rsidR="00954870" w:rsidRPr="00954870" w:rsidRDefault="00954870" w:rsidP="00D262DE">
            <w:pPr>
              <w:pStyle w:val="Heading3"/>
              <w:outlineLvl w:val="2"/>
              <w:rPr>
                <w:sz w:val="28"/>
              </w:rPr>
            </w:pPr>
            <w:r w:rsidRPr="00954870">
              <w:rPr>
                <w:sz w:val="28"/>
              </w:rPr>
              <w:t>Passenger Service Charges</w:t>
            </w:r>
          </w:p>
        </w:tc>
        <w:tc>
          <w:tcPr>
            <w:tcW w:w="1963" w:type="dxa"/>
          </w:tcPr>
          <w:p w14:paraId="026B3891" w14:textId="29C32CE0" w:rsidR="00954870" w:rsidRPr="00954870" w:rsidRDefault="00954870" w:rsidP="00D262DE">
            <w:pPr>
              <w:pStyle w:val="Heading3"/>
              <w:outlineLvl w:val="2"/>
              <w:cnfStyle w:val="000000100000" w:firstRow="0" w:lastRow="0" w:firstColumn="0" w:lastColumn="0" w:oddVBand="0" w:evenVBand="0" w:oddHBand="1" w:evenHBand="0" w:firstRowFirstColumn="0" w:firstRowLastColumn="0" w:lastRowFirstColumn="0" w:lastRowLastColumn="0"/>
              <w:rPr>
                <w:sz w:val="32"/>
              </w:rPr>
            </w:pPr>
            <w:r w:rsidRPr="00954870">
              <w:rPr>
                <w:sz w:val="32"/>
              </w:rPr>
              <w:t>$8.7</w:t>
            </w:r>
          </w:p>
        </w:tc>
        <w:tc>
          <w:tcPr>
            <w:tcW w:w="1963" w:type="dxa"/>
          </w:tcPr>
          <w:p w14:paraId="6665C806" w14:textId="2A21CA64" w:rsidR="00954870" w:rsidRPr="00954870" w:rsidRDefault="00954870" w:rsidP="00D262DE">
            <w:pPr>
              <w:pStyle w:val="Heading3"/>
              <w:outlineLvl w:val="2"/>
              <w:cnfStyle w:val="000000100000" w:firstRow="0" w:lastRow="0" w:firstColumn="0" w:lastColumn="0" w:oddVBand="0" w:evenVBand="0" w:oddHBand="1" w:evenHBand="0" w:firstRowFirstColumn="0" w:firstRowLastColumn="0" w:lastRowFirstColumn="0" w:lastRowLastColumn="0"/>
              <w:rPr>
                <w:sz w:val="32"/>
              </w:rPr>
            </w:pPr>
            <w:r w:rsidRPr="00954870">
              <w:rPr>
                <w:sz w:val="32"/>
              </w:rPr>
              <w:t>$2</w:t>
            </w:r>
          </w:p>
        </w:tc>
        <w:tc>
          <w:tcPr>
            <w:tcW w:w="1963" w:type="dxa"/>
          </w:tcPr>
          <w:p w14:paraId="69B7749B" w14:textId="7C90E628" w:rsidR="00954870" w:rsidRPr="00954870" w:rsidRDefault="00954870" w:rsidP="00D262DE">
            <w:pPr>
              <w:pStyle w:val="Heading3"/>
              <w:outlineLvl w:val="2"/>
              <w:cnfStyle w:val="000000100000" w:firstRow="0" w:lastRow="0" w:firstColumn="0" w:lastColumn="0" w:oddVBand="0" w:evenVBand="0" w:oddHBand="1" w:evenHBand="0" w:firstRowFirstColumn="0" w:firstRowLastColumn="0" w:lastRowFirstColumn="0" w:lastRowLastColumn="0"/>
              <w:rPr>
                <w:sz w:val="32"/>
              </w:rPr>
            </w:pPr>
            <w:r w:rsidRPr="00954870">
              <w:rPr>
                <w:sz w:val="32"/>
              </w:rPr>
              <w:t>$6.7</w:t>
            </w:r>
          </w:p>
        </w:tc>
        <w:tc>
          <w:tcPr>
            <w:tcW w:w="1963" w:type="dxa"/>
          </w:tcPr>
          <w:p w14:paraId="3E015AC4" w14:textId="1DA1D6B7" w:rsidR="00954870" w:rsidRPr="00954870" w:rsidRDefault="00954870" w:rsidP="00D262DE">
            <w:pPr>
              <w:pStyle w:val="Heading3"/>
              <w:outlineLvl w:val="2"/>
              <w:cnfStyle w:val="000000100000" w:firstRow="0" w:lastRow="0" w:firstColumn="0" w:lastColumn="0" w:oddVBand="0" w:evenVBand="0" w:oddHBand="1" w:evenHBand="0" w:firstRowFirstColumn="0" w:firstRowLastColumn="0" w:lastRowFirstColumn="0" w:lastRowLastColumn="0"/>
              <w:rPr>
                <w:sz w:val="32"/>
              </w:rPr>
            </w:pPr>
            <w:r w:rsidRPr="00954870">
              <w:rPr>
                <w:sz w:val="32"/>
              </w:rPr>
              <w:t>77%</w:t>
            </w:r>
          </w:p>
        </w:tc>
      </w:tr>
    </w:tbl>
    <w:p w14:paraId="60AE77ED" w14:textId="224122D0" w:rsidR="00D262DE" w:rsidRDefault="00D262DE" w:rsidP="00D262DE">
      <w:pPr>
        <w:pStyle w:val="Heading3"/>
      </w:pPr>
    </w:p>
    <w:p w14:paraId="37E155A9" w14:textId="6359EE92" w:rsidR="00954870" w:rsidRDefault="00954870" w:rsidP="00954870">
      <w:pPr>
        <w:pStyle w:val="Heading3"/>
      </w:pPr>
      <w:r>
        <w:t>Preface:</w:t>
      </w:r>
    </w:p>
    <w:p w14:paraId="3BE30B8A" w14:textId="63110498" w:rsidR="00A1503E" w:rsidRPr="008D2E3B" w:rsidRDefault="00954870" w:rsidP="00954870">
      <w:pPr>
        <w:rPr>
          <w:color w:val="auto"/>
        </w:rPr>
      </w:pPr>
      <w:r w:rsidRPr="008D2E3B">
        <w:rPr>
          <w:color w:val="auto"/>
        </w:rPr>
        <w:t xml:space="preserve">Let me begin by stating that these figures are a </w:t>
      </w:r>
      <w:r w:rsidR="00A1503E" w:rsidRPr="008D2E3B">
        <w:rPr>
          <w:color w:val="auto"/>
        </w:rPr>
        <w:t>“</w:t>
      </w:r>
      <w:r w:rsidRPr="008D2E3B">
        <w:rPr>
          <w:color w:val="auto"/>
        </w:rPr>
        <w:t>guesstimate</w:t>
      </w:r>
      <w:r w:rsidR="00A1503E" w:rsidRPr="008D2E3B">
        <w:rPr>
          <w:color w:val="auto"/>
        </w:rPr>
        <w:t>”</w:t>
      </w:r>
      <w:r w:rsidRPr="008D2E3B">
        <w:rPr>
          <w:color w:val="auto"/>
        </w:rPr>
        <w:t xml:space="preserve"> and </w:t>
      </w:r>
      <w:r w:rsidR="00A1503E" w:rsidRPr="008D2E3B">
        <w:rPr>
          <w:color w:val="auto"/>
        </w:rPr>
        <w:t xml:space="preserve">would be extremely variable depending on a multitude of factors. I did a little research to get some of the data but items such as retail income would be hugely variable depending on location and services used at that </w:t>
      </w:r>
      <w:r w:rsidR="008D2E3B" w:rsidRPr="008D2E3B">
        <w:rPr>
          <w:color w:val="auto"/>
        </w:rPr>
        <w:t>position</w:t>
      </w:r>
      <w:r w:rsidR="00A1503E" w:rsidRPr="008D2E3B">
        <w:rPr>
          <w:color w:val="auto"/>
        </w:rPr>
        <w:t>. Car parking is easy enough to find however, can have huge disparity depending on time of stay. Passenger service charges was a little hard to find the figure of $8.7 per passenger is worked out on $179.1M income in this field divided by 20.5M passengers. A quick google search of this topic suggest I am in the right area.</w:t>
      </w:r>
    </w:p>
    <w:p w14:paraId="0468167E" w14:textId="4ED0DDA9" w:rsidR="00A1503E" w:rsidRDefault="00A1503E" w:rsidP="00A1503E">
      <w:pPr>
        <w:pStyle w:val="Heading3"/>
      </w:pPr>
      <w:r>
        <w:t>Why do C. M’s differ/are similar?</w:t>
      </w:r>
    </w:p>
    <w:p w14:paraId="22971EC5" w14:textId="42B64E99" w:rsidR="00A1503E" w:rsidRPr="008D2E3B" w:rsidRDefault="00A1503E" w:rsidP="00A1503E">
      <w:pPr>
        <w:rPr>
          <w:color w:val="auto"/>
        </w:rPr>
      </w:pPr>
      <w:r w:rsidRPr="008D2E3B">
        <w:rPr>
          <w:color w:val="auto"/>
        </w:rPr>
        <w:t>At an over glance I would suspect that the majority of AIAs products and services would have very low V.C. This would mainly be due to the fact they are holistically a service and location provider. They basically provide the infrastructure for other businesses to use. Infrastructure providers don’t often have the issues of instable prices such like manufacturing companies do. Therefore, they are able to understand the real costs like power, water etc.</w:t>
      </w:r>
    </w:p>
    <w:p w14:paraId="04109894" w14:textId="0B06E32C" w:rsidR="00A1503E" w:rsidRDefault="00A1503E" w:rsidP="00A1503E">
      <w:pPr>
        <w:pStyle w:val="Heading3"/>
        <w:rPr>
          <w:sz w:val="23"/>
          <w:szCs w:val="23"/>
        </w:rPr>
      </w:pPr>
      <w:r>
        <w:t xml:space="preserve">Why might a firm produce a range of products and services with </w:t>
      </w:r>
      <w:r>
        <w:rPr>
          <w:sz w:val="23"/>
          <w:szCs w:val="23"/>
        </w:rPr>
        <w:t>different contribution margins?</w:t>
      </w:r>
    </w:p>
    <w:p w14:paraId="2245CD7A" w14:textId="5054E674" w:rsidR="00A1503E" w:rsidRPr="008D2E3B" w:rsidRDefault="00A1503E" w:rsidP="00A1503E">
      <w:pPr>
        <w:rPr>
          <w:color w:val="auto"/>
        </w:rPr>
      </w:pPr>
      <w:r w:rsidRPr="008D2E3B">
        <w:rPr>
          <w:color w:val="auto"/>
        </w:rPr>
        <w:t>For AIA they are generally restricted in their ability to offer products with varying degrees of C.M. As previously discussed</w:t>
      </w:r>
      <w:r w:rsidR="00E26CC6" w:rsidRPr="008D2E3B">
        <w:rPr>
          <w:color w:val="auto"/>
        </w:rPr>
        <w:t xml:space="preserve"> they are </w:t>
      </w:r>
      <w:r w:rsidR="008D2E3B" w:rsidRPr="008D2E3B">
        <w:rPr>
          <w:color w:val="auto"/>
        </w:rPr>
        <w:t>an</w:t>
      </w:r>
      <w:r w:rsidR="00E26CC6" w:rsidRPr="008D2E3B">
        <w:rPr>
          <w:color w:val="auto"/>
        </w:rPr>
        <w:t xml:space="preserve"> infrastructure provider and this will enable the</w:t>
      </w:r>
      <w:r w:rsidR="008D2E3B">
        <w:rPr>
          <w:color w:val="auto"/>
        </w:rPr>
        <w:t>m</w:t>
      </w:r>
      <w:r w:rsidR="00E26CC6" w:rsidRPr="008D2E3B">
        <w:rPr>
          <w:color w:val="auto"/>
        </w:rPr>
        <w:t xml:space="preserve"> to have a very low degree on V.C. Firms may have no choice but to offer products with varying degrees of C.M. This may be because there is high demand for such products or they have superior access to items or goods that they sell.</w:t>
      </w:r>
    </w:p>
    <w:p w14:paraId="1EDA4AF3" w14:textId="77777777" w:rsidR="00E26CC6" w:rsidRDefault="00E26CC6" w:rsidP="00E26CC6">
      <w:pPr>
        <w:pStyle w:val="Heading3"/>
        <w:rPr>
          <w:sz w:val="23"/>
          <w:szCs w:val="23"/>
        </w:rPr>
      </w:pPr>
      <w:r>
        <w:rPr>
          <w:sz w:val="23"/>
          <w:szCs w:val="23"/>
        </w:rPr>
        <w:lastRenderedPageBreak/>
        <w:t>Why not only produce the product/service with the highest contribution margin?</w:t>
      </w:r>
    </w:p>
    <w:p w14:paraId="46A84A66" w14:textId="77777777" w:rsidR="00E26CC6" w:rsidRPr="008D2E3B" w:rsidRDefault="00E26CC6" w:rsidP="00E26CC6">
      <w:pPr>
        <w:rPr>
          <w:color w:val="auto"/>
        </w:rPr>
      </w:pPr>
      <w:r w:rsidRPr="008D2E3B">
        <w:rPr>
          <w:color w:val="auto"/>
        </w:rPr>
        <w:t>Again, a company like AIA is restricted in what they can offer. At the end of the day they are an infrastructure and service provider. What many company’s like AIA attempt to do is diversify their portfolio as much as possible to ensure their income spread has multiple arms.</w:t>
      </w:r>
    </w:p>
    <w:p w14:paraId="5686875D" w14:textId="4AA49B11" w:rsidR="00E26CC6" w:rsidRPr="008D2E3B" w:rsidRDefault="00E26CC6" w:rsidP="00E26CC6">
      <w:pPr>
        <w:rPr>
          <w:color w:val="auto"/>
        </w:rPr>
      </w:pPr>
      <w:r w:rsidRPr="008D2E3B">
        <w:rPr>
          <w:color w:val="auto"/>
        </w:rPr>
        <w:t>For example, AIA had car park income of $61M for 2018. Within this income they may have had a C.M of 80%. If they had another service as above like their passenger services charges that is lower say 60-70% is it a viable option to only focus of car parking? The answer is of course NO! They are in the business of providing airports and as such need to have passengers. This in turn leads to the car parking income. Their ability to provide enough car parks</w:t>
      </w:r>
      <w:r w:rsidR="008D2E3B">
        <w:rPr>
          <w:color w:val="auto"/>
        </w:rPr>
        <w:t>;</w:t>
      </w:r>
      <w:r w:rsidRPr="008D2E3B">
        <w:rPr>
          <w:color w:val="auto"/>
        </w:rPr>
        <w:t xml:space="preserve"> some of which they may own and operate and others they may lease to providers to </w:t>
      </w:r>
      <w:r w:rsidR="008D2E3B">
        <w:rPr>
          <w:color w:val="auto"/>
        </w:rPr>
        <w:t>look after</w:t>
      </w:r>
      <w:r w:rsidRPr="008D2E3B">
        <w:rPr>
          <w:color w:val="auto"/>
        </w:rPr>
        <w:t xml:space="preserve"> is where the diversification comes in.</w:t>
      </w:r>
    </w:p>
    <w:p w14:paraId="298FDAD8" w14:textId="16A16F03" w:rsidR="00E26CC6" w:rsidRDefault="00E26CC6" w:rsidP="00E26CC6">
      <w:pPr>
        <w:pStyle w:val="Heading3"/>
        <w:rPr>
          <w:sz w:val="23"/>
          <w:szCs w:val="23"/>
        </w:rPr>
      </w:pPr>
      <w:r>
        <w:rPr>
          <w:sz w:val="23"/>
          <w:szCs w:val="23"/>
        </w:rPr>
        <w:t>Identify (or guess) one or more resource constraints your firm may face, and perhaps any market constraints you feel may impinge on your firm.</w:t>
      </w:r>
    </w:p>
    <w:p w14:paraId="4A2C8255" w14:textId="50E7D6A9" w:rsidR="00E26CC6" w:rsidRPr="008D2E3B" w:rsidRDefault="00E26CC6" w:rsidP="00E26CC6">
      <w:pPr>
        <w:rPr>
          <w:color w:val="auto"/>
        </w:rPr>
      </w:pPr>
      <w:r w:rsidRPr="008D2E3B">
        <w:rPr>
          <w:color w:val="auto"/>
        </w:rPr>
        <w:t xml:space="preserve">One of the major constraints AIA would face is their ability to raise enough capital to build infrastructure. Items such as runway developments or new terminals are costly and as such require huge capital investment in order to proceed. </w:t>
      </w:r>
      <w:r w:rsidR="008D2E3B">
        <w:rPr>
          <w:color w:val="auto"/>
        </w:rPr>
        <w:t>This is why they sold a large stake in another airport they owned in North Queensland. It enabled them access to capital to grow their own site.</w:t>
      </w:r>
    </w:p>
    <w:p w14:paraId="0CAB6276" w14:textId="1CF07B3C" w:rsidR="00E26CC6" w:rsidRPr="008D2E3B" w:rsidRDefault="00E26CC6" w:rsidP="00E26CC6">
      <w:pPr>
        <w:rPr>
          <w:color w:val="auto"/>
        </w:rPr>
      </w:pPr>
      <w:r w:rsidRPr="008D2E3B">
        <w:rPr>
          <w:color w:val="auto"/>
        </w:rPr>
        <w:t xml:space="preserve">Other </w:t>
      </w:r>
      <w:r w:rsidR="00416EFE" w:rsidRPr="008D2E3B">
        <w:rPr>
          <w:color w:val="auto"/>
        </w:rPr>
        <w:t xml:space="preserve">market </w:t>
      </w:r>
      <w:r w:rsidRPr="008D2E3B">
        <w:rPr>
          <w:color w:val="auto"/>
        </w:rPr>
        <w:t>constraints AIA would face are:</w:t>
      </w:r>
    </w:p>
    <w:p w14:paraId="291D85DE" w14:textId="2D9D4B10" w:rsidR="00E26CC6" w:rsidRPr="008D2E3B" w:rsidRDefault="00E26CC6" w:rsidP="00E26CC6">
      <w:pPr>
        <w:pStyle w:val="ListParagraph"/>
        <w:numPr>
          <w:ilvl w:val="0"/>
          <w:numId w:val="20"/>
        </w:numPr>
        <w:rPr>
          <w:color w:val="auto"/>
        </w:rPr>
      </w:pPr>
      <w:r w:rsidRPr="008D2E3B">
        <w:rPr>
          <w:color w:val="auto"/>
        </w:rPr>
        <w:t>Environmental and Noise issues</w:t>
      </w:r>
    </w:p>
    <w:p w14:paraId="6CAFF5E5" w14:textId="1232D85E" w:rsidR="00E26CC6" w:rsidRPr="008D2E3B" w:rsidRDefault="00E26CC6" w:rsidP="00E26CC6">
      <w:pPr>
        <w:pStyle w:val="ListParagraph"/>
        <w:numPr>
          <w:ilvl w:val="0"/>
          <w:numId w:val="20"/>
        </w:numPr>
        <w:rPr>
          <w:color w:val="auto"/>
        </w:rPr>
      </w:pPr>
      <w:r w:rsidRPr="008D2E3B">
        <w:rPr>
          <w:color w:val="auto"/>
        </w:rPr>
        <w:t>Government Restrictions</w:t>
      </w:r>
    </w:p>
    <w:p w14:paraId="43A34179" w14:textId="14F8DB4C" w:rsidR="00E26CC6" w:rsidRPr="008D2E3B" w:rsidRDefault="00E26CC6" w:rsidP="00E26CC6">
      <w:pPr>
        <w:pStyle w:val="ListParagraph"/>
        <w:numPr>
          <w:ilvl w:val="0"/>
          <w:numId w:val="20"/>
        </w:numPr>
        <w:rPr>
          <w:color w:val="auto"/>
        </w:rPr>
      </w:pPr>
      <w:r w:rsidRPr="008D2E3B">
        <w:rPr>
          <w:color w:val="auto"/>
        </w:rPr>
        <w:t>Mother Nature</w:t>
      </w:r>
    </w:p>
    <w:p w14:paraId="2A01B3E0" w14:textId="0A7AF29E" w:rsidR="00E26CC6" w:rsidRPr="008D2E3B" w:rsidRDefault="00E26CC6" w:rsidP="00E26CC6">
      <w:pPr>
        <w:pStyle w:val="ListParagraph"/>
        <w:numPr>
          <w:ilvl w:val="0"/>
          <w:numId w:val="20"/>
        </w:numPr>
        <w:rPr>
          <w:color w:val="auto"/>
        </w:rPr>
      </w:pPr>
      <w:r w:rsidRPr="008D2E3B">
        <w:rPr>
          <w:color w:val="auto"/>
        </w:rPr>
        <w:t>Seasonality of Tourism</w:t>
      </w:r>
    </w:p>
    <w:p w14:paraId="7EF8559A" w14:textId="29BA5BA9" w:rsidR="00E26CC6" w:rsidRPr="008D2E3B" w:rsidRDefault="00E26CC6" w:rsidP="00E26CC6">
      <w:pPr>
        <w:pStyle w:val="ListParagraph"/>
        <w:numPr>
          <w:ilvl w:val="0"/>
          <w:numId w:val="20"/>
        </w:numPr>
        <w:rPr>
          <w:color w:val="auto"/>
        </w:rPr>
      </w:pPr>
      <w:r w:rsidRPr="008D2E3B">
        <w:rPr>
          <w:color w:val="auto"/>
        </w:rPr>
        <w:t>Foreign exchange rates</w:t>
      </w:r>
    </w:p>
    <w:p w14:paraId="6D5B2813" w14:textId="6125218E" w:rsidR="00E26CC6" w:rsidRPr="008D2E3B" w:rsidRDefault="00E26CC6" w:rsidP="00E26CC6">
      <w:pPr>
        <w:rPr>
          <w:color w:val="auto"/>
        </w:rPr>
      </w:pPr>
      <w:r w:rsidRPr="008D2E3B">
        <w:rPr>
          <w:color w:val="auto"/>
        </w:rPr>
        <w:t>Something like the foreign exchange rate can has a massive impact to AIAs business. AIA has a large dependency on the Chinese Yen</w:t>
      </w:r>
      <w:r w:rsidR="00416EFE" w:rsidRPr="008D2E3B">
        <w:rPr>
          <w:color w:val="auto"/>
        </w:rPr>
        <w:t xml:space="preserve"> being st</w:t>
      </w:r>
      <w:r w:rsidR="008D2E3B">
        <w:rPr>
          <w:color w:val="auto"/>
        </w:rPr>
        <w:t>ro</w:t>
      </w:r>
      <w:r w:rsidR="00416EFE" w:rsidRPr="008D2E3B">
        <w:rPr>
          <w:color w:val="auto"/>
        </w:rPr>
        <w:t>ng enough to encourage Chinese tourist</w:t>
      </w:r>
      <w:r w:rsidR="008D2E3B">
        <w:rPr>
          <w:color w:val="auto"/>
        </w:rPr>
        <w:t>s</w:t>
      </w:r>
      <w:r w:rsidR="00416EFE" w:rsidRPr="008D2E3B">
        <w:rPr>
          <w:color w:val="auto"/>
        </w:rPr>
        <w:t xml:space="preserve"> to travel. This was actually one of the large parts covered in their annual report and a key focus area for future growth.</w:t>
      </w:r>
    </w:p>
    <w:p w14:paraId="767F15A1" w14:textId="7F2758D4" w:rsidR="00416EFE" w:rsidRDefault="00416EFE" w:rsidP="00416EFE">
      <w:pPr>
        <w:pStyle w:val="Heading3"/>
        <w:rPr>
          <w:sz w:val="23"/>
          <w:szCs w:val="23"/>
        </w:rPr>
      </w:pPr>
      <w:r>
        <w:rPr>
          <w:sz w:val="23"/>
          <w:szCs w:val="23"/>
        </w:rPr>
        <w:t>In what ways might these constraints be relevant when deciding whether (and how much) of the three products or services of your firm that you have identified, your firm should produce and sell?</w:t>
      </w:r>
    </w:p>
    <w:p w14:paraId="5CE158B7" w14:textId="78A13ACA" w:rsidR="00A1503E" w:rsidRDefault="00416EFE" w:rsidP="00954870">
      <w:pPr>
        <w:rPr>
          <w:color w:val="auto"/>
        </w:rPr>
      </w:pPr>
      <w:r w:rsidRPr="008D2E3B">
        <w:rPr>
          <w:color w:val="auto"/>
        </w:rPr>
        <w:t>All of these constraints are relevant however as discussed raising capital would be closely tied to growth and expansion. The ability for AIA to remain modern, technologically advanced and offer premium retail services relies on their a</w:t>
      </w:r>
      <w:r w:rsidR="008D2E3B">
        <w:rPr>
          <w:color w:val="auto"/>
        </w:rPr>
        <w:t>bilit</w:t>
      </w:r>
      <w:r w:rsidRPr="008D2E3B">
        <w:rPr>
          <w:color w:val="auto"/>
        </w:rPr>
        <w:t>y to update, build and maintain their facilities</w:t>
      </w:r>
      <w:r w:rsidR="008D2E3B">
        <w:rPr>
          <w:color w:val="auto"/>
        </w:rPr>
        <w:t>.</w:t>
      </w:r>
    </w:p>
    <w:p w14:paraId="6AB2C4F7" w14:textId="52A81542" w:rsidR="000F71E2" w:rsidRDefault="000F71E2" w:rsidP="000F71E2">
      <w:pPr>
        <w:pStyle w:val="Heading1"/>
      </w:pPr>
      <w:r>
        <w:lastRenderedPageBreak/>
        <w:t>Step 8: Ratios and Economic Profit</w:t>
      </w:r>
    </w:p>
    <w:p w14:paraId="25C3C824" w14:textId="70A66D5F" w:rsidR="00642B14" w:rsidRDefault="00D47EE5" w:rsidP="00886EC0">
      <w:pPr>
        <w:pStyle w:val="Heading2"/>
      </w:pPr>
      <w:r>
        <w:t xml:space="preserve"> </w:t>
      </w:r>
      <w:r w:rsidR="007431C5">
        <w:t>Ratio An</w:t>
      </w:r>
      <w:r w:rsidR="00642B14">
        <w:t xml:space="preserve">alysis </w:t>
      </w:r>
    </w:p>
    <w:p w14:paraId="3BBEDC4F" w14:textId="77777777" w:rsidR="00886EC0" w:rsidRPr="00886EC0" w:rsidRDefault="00886EC0" w:rsidP="00886EC0"/>
    <w:p w14:paraId="6407A22F" w14:textId="3AFC40B3" w:rsidR="00642B14" w:rsidRPr="00642B14" w:rsidRDefault="00642B14" w:rsidP="00642B14">
      <w:pPr>
        <w:pStyle w:val="Heading3"/>
      </w:pPr>
      <w:r w:rsidRPr="00642B14">
        <w:t>Profitability Ratios</w:t>
      </w:r>
    </w:p>
    <w:p w14:paraId="781A66EE" w14:textId="5448C919" w:rsidR="00642B14" w:rsidRPr="00642B14" w:rsidRDefault="00642B14" w:rsidP="00642B14">
      <w:r w:rsidRPr="00642B14">
        <w:rPr>
          <w:noProof/>
        </w:rPr>
        <w:drawing>
          <wp:inline distT="0" distB="0" distL="0" distR="0" wp14:anchorId="175EEB46" wp14:editId="6D0A4577">
            <wp:extent cx="5486400" cy="432538"/>
            <wp:effectExtent l="0" t="0" r="0" b="571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486400" cy="432538"/>
                    </a:xfrm>
                    <a:prstGeom prst="rect">
                      <a:avLst/>
                    </a:prstGeom>
                    <a:noFill/>
                    <a:ln>
                      <a:noFill/>
                    </a:ln>
                  </pic:spPr>
                </pic:pic>
              </a:graphicData>
            </a:graphic>
          </wp:inline>
        </w:drawing>
      </w:r>
    </w:p>
    <w:p w14:paraId="5C5958DC" w14:textId="67E45B89" w:rsidR="000F71E2" w:rsidRDefault="0017022C" w:rsidP="0017022C">
      <w:pPr>
        <w:rPr>
          <w:color w:val="auto"/>
        </w:rPr>
      </w:pPr>
      <w:r w:rsidRPr="0017022C">
        <w:rPr>
          <w:color w:val="auto"/>
        </w:rPr>
        <w:t>Net profit margin for AIA is quite large</w:t>
      </w:r>
      <w:r>
        <w:rPr>
          <w:color w:val="auto"/>
        </w:rPr>
        <w:t xml:space="preserve"> in FY18 &amp; FY16</w:t>
      </w:r>
      <w:r w:rsidRPr="0017022C">
        <w:rPr>
          <w:color w:val="auto"/>
        </w:rPr>
        <w:t>, this got me double and triple checking that I was using the correct figures to begin with. Across various companies I have seen margin anywhere from 15% to 300% however I was surprised to see AIA so high. There is an obvious dip in FY15 &amp; FY17 attributed to large spending across investments which in turn lead to greater profit the following year. Noting AIA is an asset</w:t>
      </w:r>
      <w:r w:rsidR="0033705B">
        <w:rPr>
          <w:color w:val="auto"/>
        </w:rPr>
        <w:t>/infrastructure</w:t>
      </w:r>
      <w:r w:rsidRPr="0017022C">
        <w:rPr>
          <w:color w:val="auto"/>
        </w:rPr>
        <w:t xml:space="preserve"> provider their ability to turn their assets into profitable opportunities relies heavily on their actual ability to provide these assets.</w:t>
      </w:r>
      <w:r>
        <w:rPr>
          <w:color w:val="auto"/>
        </w:rPr>
        <w:t xml:space="preserve"> Across these years there was an inability to provide assets due to construction works.</w:t>
      </w:r>
    </w:p>
    <w:p w14:paraId="5B1F4183" w14:textId="13B22A69" w:rsidR="0017022C" w:rsidRPr="0017022C" w:rsidRDefault="0017022C" w:rsidP="0017022C">
      <w:pPr>
        <w:rPr>
          <w:color w:val="auto"/>
        </w:rPr>
      </w:pPr>
      <w:r>
        <w:rPr>
          <w:color w:val="auto"/>
        </w:rPr>
        <w:t>ROA is much the same due to AIAs reliance of their assets and infrastructure</w:t>
      </w:r>
      <w:r w:rsidR="0033705B">
        <w:rPr>
          <w:color w:val="auto"/>
        </w:rPr>
        <w:t xml:space="preserve"> heavy capital investment has lead to capital work projects. I would imagine we would see the trend continue to map the same path noting AIAs continued development across various capital work projects.</w:t>
      </w:r>
    </w:p>
    <w:p w14:paraId="0C1D3CCF" w14:textId="02BC449D" w:rsidR="00642B14" w:rsidRDefault="00642B14" w:rsidP="00642B14">
      <w:pPr>
        <w:pStyle w:val="Heading3"/>
      </w:pPr>
      <w:r w:rsidRPr="00642B14">
        <w:t>Efficiency (or Asset Management) Ratios</w:t>
      </w:r>
    </w:p>
    <w:p w14:paraId="467411CF" w14:textId="5ECA1AD3" w:rsidR="00642B14" w:rsidRPr="00642B14" w:rsidRDefault="00642B14" w:rsidP="00642B14">
      <w:r w:rsidRPr="00642B14">
        <w:rPr>
          <w:noProof/>
        </w:rPr>
        <w:drawing>
          <wp:inline distT="0" distB="0" distL="0" distR="0" wp14:anchorId="73C9C0C9" wp14:editId="3E0D4EB3">
            <wp:extent cx="5486400" cy="432538"/>
            <wp:effectExtent l="0" t="0" r="0" b="571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486400" cy="432538"/>
                    </a:xfrm>
                    <a:prstGeom prst="rect">
                      <a:avLst/>
                    </a:prstGeom>
                    <a:noFill/>
                    <a:ln>
                      <a:noFill/>
                    </a:ln>
                  </pic:spPr>
                </pic:pic>
              </a:graphicData>
            </a:graphic>
          </wp:inline>
        </w:drawing>
      </w:r>
    </w:p>
    <w:p w14:paraId="7232ADA6" w14:textId="7A5C6434" w:rsidR="00642B14" w:rsidRDefault="0033705B" w:rsidP="00954870">
      <w:pPr>
        <w:rPr>
          <w:color w:val="auto"/>
        </w:rPr>
      </w:pPr>
      <w:r>
        <w:rPr>
          <w:color w:val="auto"/>
        </w:rPr>
        <w:t>AIA is an infrastructure and asset provider. Most of their income is based around rental of assets such as retail and car parking as well as airfield infrastructure. As such AIA does not have a large inventory. In fact, the only place inventory is mentioned throughout their portfolios is with fire fighting equipment. As such they do not have the ability to sell inventory’s meaning the days of inventory is a N/A.</w:t>
      </w:r>
    </w:p>
    <w:p w14:paraId="162DE303" w14:textId="1578C5DC" w:rsidR="0033705B" w:rsidRDefault="0033705B" w:rsidP="00954870">
      <w:pPr>
        <w:rPr>
          <w:color w:val="auto"/>
        </w:rPr>
      </w:pPr>
      <w:r>
        <w:rPr>
          <w:color w:val="auto"/>
        </w:rPr>
        <w:t>ATO is much the same due to the fact that AIAs assets are their infrastructure. AIA does not move their assets on like a manufacturing/goods provider would. Instead they invest in upgrading or re-development in order to provide better or greater range of options in this space.</w:t>
      </w:r>
    </w:p>
    <w:p w14:paraId="554B38BA" w14:textId="77777777" w:rsidR="0033705B" w:rsidRDefault="0033705B" w:rsidP="00954870">
      <w:pPr>
        <w:rPr>
          <w:color w:val="auto"/>
        </w:rPr>
      </w:pPr>
    </w:p>
    <w:p w14:paraId="1664B023" w14:textId="32B609EE" w:rsidR="00642B14" w:rsidRDefault="00642B14" w:rsidP="00642B14">
      <w:pPr>
        <w:pStyle w:val="Heading3"/>
      </w:pPr>
      <w:r w:rsidRPr="00642B14">
        <w:lastRenderedPageBreak/>
        <w:t>Liquidity Ratios</w:t>
      </w:r>
    </w:p>
    <w:p w14:paraId="0CA7C089" w14:textId="047A7115" w:rsidR="00642B14" w:rsidRDefault="00642B14" w:rsidP="00642B14">
      <w:r w:rsidRPr="00642B14">
        <w:rPr>
          <w:noProof/>
        </w:rPr>
        <w:drawing>
          <wp:inline distT="0" distB="0" distL="0" distR="0" wp14:anchorId="556B48D7" wp14:editId="46707938">
            <wp:extent cx="5486400" cy="337564"/>
            <wp:effectExtent l="0" t="0" r="0" b="571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486400" cy="337564"/>
                    </a:xfrm>
                    <a:prstGeom prst="rect">
                      <a:avLst/>
                    </a:prstGeom>
                    <a:noFill/>
                    <a:ln>
                      <a:noFill/>
                    </a:ln>
                  </pic:spPr>
                </pic:pic>
              </a:graphicData>
            </a:graphic>
          </wp:inline>
        </w:drawing>
      </w:r>
    </w:p>
    <w:p w14:paraId="6850E9B3" w14:textId="6C5D2571" w:rsidR="00642B14" w:rsidRPr="00F44F4B" w:rsidRDefault="00F44F4B" w:rsidP="00642B14">
      <w:pPr>
        <w:rPr>
          <w:color w:val="auto"/>
        </w:rPr>
      </w:pPr>
      <w:r w:rsidRPr="00F44F4B">
        <w:rPr>
          <w:color w:val="auto"/>
        </w:rPr>
        <w:t>Not surprisingly the current ratio</w:t>
      </w:r>
      <w:r>
        <w:rPr>
          <w:color w:val="auto"/>
        </w:rPr>
        <w:t xml:space="preserve"> </w:t>
      </w:r>
      <w:r w:rsidRPr="00F44F4B">
        <w:rPr>
          <w:color w:val="auto"/>
        </w:rPr>
        <w:t xml:space="preserve">is under the 1:1 ratio across the last four years for AIA. AIA relies heavily on its large </w:t>
      </w:r>
      <w:r>
        <w:rPr>
          <w:color w:val="auto"/>
        </w:rPr>
        <w:t xml:space="preserve">and expensive </w:t>
      </w:r>
      <w:r w:rsidRPr="00F44F4B">
        <w:rPr>
          <w:color w:val="auto"/>
        </w:rPr>
        <w:t>assets to provide income as such the capital outlay is often going to be far greater than its return.</w:t>
      </w:r>
      <w:r>
        <w:rPr>
          <w:color w:val="auto"/>
        </w:rPr>
        <w:t xml:space="preserve"> This isn’t to say that AIA is a “bad” company for not having a 1:1 ratio, its just that they have gone through some significant re-development projects and capital upgrades over the last 5 years. This in turn means many of these assets would still be costing the company money. For a project like a runway upgrade AIA may not see a return for 10 years, however would need to continue to develop to ensure it can service its customers (airlines) safely and effectively. </w:t>
      </w:r>
    </w:p>
    <w:p w14:paraId="3135D3CF" w14:textId="62CD4480" w:rsidR="00642B14" w:rsidRDefault="00642B14" w:rsidP="00642B14">
      <w:pPr>
        <w:pStyle w:val="Heading3"/>
      </w:pPr>
      <w:r w:rsidRPr="00642B14">
        <w:t>Financial Structure Ratios</w:t>
      </w:r>
    </w:p>
    <w:p w14:paraId="77C9BB96" w14:textId="53BD06B9" w:rsidR="00642B14" w:rsidRDefault="00642B14" w:rsidP="00642B14">
      <w:r w:rsidRPr="00642B14">
        <w:rPr>
          <w:noProof/>
        </w:rPr>
        <w:drawing>
          <wp:inline distT="0" distB="0" distL="0" distR="0" wp14:anchorId="0B7A4FF4" wp14:editId="263D7957">
            <wp:extent cx="5486400" cy="432538"/>
            <wp:effectExtent l="0" t="0" r="0" b="571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486400" cy="432538"/>
                    </a:xfrm>
                    <a:prstGeom prst="rect">
                      <a:avLst/>
                    </a:prstGeom>
                    <a:noFill/>
                    <a:ln>
                      <a:noFill/>
                    </a:ln>
                  </pic:spPr>
                </pic:pic>
              </a:graphicData>
            </a:graphic>
          </wp:inline>
        </w:drawing>
      </w:r>
    </w:p>
    <w:p w14:paraId="589629F2" w14:textId="2024A0FE" w:rsidR="00F44F4B" w:rsidRDefault="004D73B2" w:rsidP="004D73B2">
      <w:pPr>
        <w:rPr>
          <w:color w:val="auto"/>
        </w:rPr>
      </w:pPr>
      <w:r w:rsidRPr="004D73B2">
        <w:rPr>
          <w:color w:val="auto"/>
        </w:rPr>
        <w:t>Debt</w:t>
      </w:r>
      <w:r>
        <w:rPr>
          <w:color w:val="auto"/>
        </w:rPr>
        <w:t xml:space="preserve"> Equity Ratio displays that AIA has had a large reliance of equity providers across FY15-17 staying steady at around 60%. Interestingly the drop to 40% for FY18 has coincided with a large capital works portfolio being developed for the next 4 years. It would appear AIA has been reducing its reliance on debt providers to ensure it can continue to borrow heavily for the future capital projects. Also, AIA sold off its interest in another airport recently which would have allowed it to either pay down some of this debt or fund these projects. </w:t>
      </w:r>
    </w:p>
    <w:p w14:paraId="3840FD9A" w14:textId="465C267D" w:rsidR="004D73B2" w:rsidRPr="004D73B2" w:rsidRDefault="004D73B2" w:rsidP="004D73B2">
      <w:pPr>
        <w:rPr>
          <w:color w:val="auto"/>
        </w:rPr>
      </w:pPr>
      <w:r>
        <w:rPr>
          <w:color w:val="auto"/>
        </w:rPr>
        <w:t>The equity ratio is relative across the years and displays AIAs heavy reliance on equity to fund operations and its holdings or large and expensive assets.</w:t>
      </w:r>
    </w:p>
    <w:p w14:paraId="499F7F15" w14:textId="77777777" w:rsidR="00F44F4B" w:rsidRDefault="00F44F4B" w:rsidP="00642B14">
      <w:pPr>
        <w:pStyle w:val="Heading3"/>
      </w:pPr>
    </w:p>
    <w:p w14:paraId="15B7B788" w14:textId="13D41111" w:rsidR="00642B14" w:rsidRDefault="00642B14" w:rsidP="00642B14">
      <w:pPr>
        <w:pStyle w:val="Heading3"/>
      </w:pPr>
      <w:r w:rsidRPr="00642B14">
        <w:t>Market Ratios</w:t>
      </w:r>
    </w:p>
    <w:p w14:paraId="0065A6C8" w14:textId="37105AF5" w:rsidR="00642B14" w:rsidRDefault="00642B14" w:rsidP="00642B14">
      <w:r w:rsidRPr="00642B14">
        <w:rPr>
          <w:noProof/>
        </w:rPr>
        <w:drawing>
          <wp:inline distT="0" distB="0" distL="0" distR="0" wp14:anchorId="71480C74" wp14:editId="6AC48EEA">
            <wp:extent cx="5486400" cy="538894"/>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486400" cy="538894"/>
                    </a:xfrm>
                    <a:prstGeom prst="rect">
                      <a:avLst/>
                    </a:prstGeom>
                    <a:noFill/>
                    <a:ln>
                      <a:noFill/>
                    </a:ln>
                  </pic:spPr>
                </pic:pic>
              </a:graphicData>
            </a:graphic>
          </wp:inline>
        </w:drawing>
      </w:r>
    </w:p>
    <w:p w14:paraId="7C564642" w14:textId="2E930349" w:rsidR="00642B14" w:rsidRDefault="0020489F" w:rsidP="0020489F">
      <w:pPr>
        <w:rPr>
          <w:color w:val="auto"/>
        </w:rPr>
      </w:pPr>
      <w:r>
        <w:rPr>
          <w:color w:val="auto"/>
        </w:rPr>
        <w:t>Share price has remained steady across FY16-18 with a significant increase between 15-16. The DPS has reflected the steady price across these years and the EPS for FY18 is reflective of AIAs desire to develop large capital works projects and airfield expansions. It would be safe to safe they have held back some of their earning to ensure they can fund these projects and in turn deliver better EPS into the future.</w:t>
      </w:r>
      <w:r w:rsidR="00F44F4B">
        <w:rPr>
          <w:color w:val="auto"/>
        </w:rPr>
        <w:t xml:space="preserve"> The EPS is also relative to CI with large dips followed by significant increases the following year.</w:t>
      </w:r>
    </w:p>
    <w:p w14:paraId="4E57D700" w14:textId="70AEA569" w:rsidR="0020489F" w:rsidRDefault="0020489F" w:rsidP="0020489F">
      <w:pPr>
        <w:rPr>
          <w:color w:val="auto"/>
        </w:rPr>
      </w:pPr>
      <w:r>
        <w:rPr>
          <w:color w:val="auto"/>
        </w:rPr>
        <w:t xml:space="preserve">Price earning ratio is a varied across the timeline and it may be speculative to assume why. Perhaps the lower DPS to EPS ratio provides a “better looking” price earnings ratio, </w:t>
      </w:r>
      <w:r>
        <w:rPr>
          <w:color w:val="auto"/>
        </w:rPr>
        <w:lastRenderedPageBreak/>
        <w:t xml:space="preserve">however as the market share price has remained around $6 so I would suspect investors would be playing a long game when it came to </w:t>
      </w:r>
      <w:r w:rsidR="00F44F4B">
        <w:rPr>
          <w:color w:val="auto"/>
        </w:rPr>
        <w:t>be looking</w:t>
      </w:r>
      <w:r>
        <w:rPr>
          <w:color w:val="auto"/>
        </w:rPr>
        <w:t xml:space="preserve"> for returns</w:t>
      </w:r>
      <w:r w:rsidR="00F44F4B">
        <w:rPr>
          <w:color w:val="auto"/>
        </w:rPr>
        <w:t xml:space="preserve"> as opposed to the short term.</w:t>
      </w:r>
    </w:p>
    <w:p w14:paraId="177E9D4C" w14:textId="77777777" w:rsidR="0020489F" w:rsidRPr="0020489F" w:rsidRDefault="0020489F" w:rsidP="0020489F">
      <w:pPr>
        <w:rPr>
          <w:color w:val="auto"/>
        </w:rPr>
      </w:pPr>
    </w:p>
    <w:p w14:paraId="097E3283" w14:textId="14D25554" w:rsidR="00642B14" w:rsidRDefault="00642B14" w:rsidP="00642B14">
      <w:pPr>
        <w:pStyle w:val="Heading3"/>
      </w:pPr>
      <w:r w:rsidRPr="00642B14">
        <w:t>Ratios Based on Reformulated Financial Statements</w:t>
      </w:r>
    </w:p>
    <w:p w14:paraId="64203B06" w14:textId="0BFB5C9E" w:rsidR="00642B14" w:rsidRDefault="00642B14" w:rsidP="00642B14">
      <w:r w:rsidRPr="00642B14">
        <w:rPr>
          <w:noProof/>
        </w:rPr>
        <w:drawing>
          <wp:inline distT="0" distB="0" distL="0" distR="0" wp14:anchorId="2E97604E" wp14:editId="1D468705">
            <wp:extent cx="5486400" cy="75125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486400" cy="751250"/>
                    </a:xfrm>
                    <a:prstGeom prst="rect">
                      <a:avLst/>
                    </a:prstGeom>
                    <a:noFill/>
                    <a:ln>
                      <a:noFill/>
                    </a:ln>
                  </pic:spPr>
                </pic:pic>
              </a:graphicData>
            </a:graphic>
          </wp:inline>
        </w:drawing>
      </w:r>
    </w:p>
    <w:p w14:paraId="4862A569" w14:textId="61C88862" w:rsidR="004D73B2" w:rsidRDefault="004D73B2" w:rsidP="004D73B2">
      <w:pPr>
        <w:pStyle w:val="Heading5"/>
      </w:pPr>
      <w:r>
        <w:t>ROE</w:t>
      </w:r>
    </w:p>
    <w:p w14:paraId="7D0BBB16" w14:textId="4D686F4E" w:rsidR="00BA44B4" w:rsidRPr="004D73B2" w:rsidRDefault="00FB3C2C" w:rsidP="004D73B2">
      <w:pPr>
        <w:rPr>
          <w:color w:val="auto"/>
        </w:rPr>
      </w:pPr>
      <w:r>
        <w:rPr>
          <w:color w:val="auto"/>
        </w:rPr>
        <w:t>ROE is almost relative in its fluctuations to AIAs performance across the four-year span. Dips in previous years are followed by large spikes the following. This displays AIAs constant push into capital developments to maintain and upkeep current assets whilst also expanding and developing for the future.</w:t>
      </w:r>
    </w:p>
    <w:p w14:paraId="7B695CFB" w14:textId="771EFD24" w:rsidR="004D73B2" w:rsidRDefault="004D73B2" w:rsidP="004D73B2">
      <w:pPr>
        <w:pStyle w:val="Heading5"/>
      </w:pPr>
      <w:r>
        <w:t>RNOA</w:t>
      </w:r>
    </w:p>
    <w:p w14:paraId="2F37785E" w14:textId="3542594B" w:rsidR="00BA44B4" w:rsidRPr="00BA44B4" w:rsidRDefault="00FB3C2C" w:rsidP="00BA44B4">
      <w:pPr>
        <w:pStyle w:val="Heading5"/>
        <w:rPr>
          <w:color w:val="auto"/>
        </w:rPr>
      </w:pPr>
      <w:r>
        <w:rPr>
          <w:color w:val="auto"/>
        </w:rPr>
        <w:t>Not surprisingly the use of asset return has continued to increase as AIA has continued to develop them. Noting their reliance to be able to generate income through their assets it’s not surprisingly to see a steady increase will often be followed by a drop during years of capital development. The capex plan often coincides with construction works meaning AIA may have limited use of some of these areas and in-turn not be able to generate income. The restated figures show AIA is actually in a better position than their original ROA figures suggest due to the separation of operating an</w:t>
      </w:r>
      <w:r w:rsidR="00E5143B">
        <w:rPr>
          <w:color w:val="auto"/>
        </w:rPr>
        <w:t>d</w:t>
      </w:r>
      <w:r>
        <w:rPr>
          <w:color w:val="auto"/>
        </w:rPr>
        <w:t xml:space="preserve"> finance</w:t>
      </w:r>
      <w:r w:rsidR="00E5143B">
        <w:rPr>
          <w:color w:val="auto"/>
        </w:rPr>
        <w:t xml:space="preserve"> segmentation</w:t>
      </w:r>
      <w:r>
        <w:rPr>
          <w:color w:val="auto"/>
        </w:rPr>
        <w:t xml:space="preserve"> and removal of finance costs. </w:t>
      </w:r>
    </w:p>
    <w:p w14:paraId="6C3CCED9" w14:textId="5FEDF643" w:rsidR="004D73B2" w:rsidRDefault="004D73B2" w:rsidP="004D73B2">
      <w:pPr>
        <w:pStyle w:val="Heading5"/>
      </w:pPr>
      <w:r>
        <w:t>NBC</w:t>
      </w:r>
    </w:p>
    <w:p w14:paraId="3D621CC0" w14:textId="46152BE9" w:rsidR="00FB3C2C" w:rsidRPr="00FB3C2C" w:rsidRDefault="00FB3C2C" w:rsidP="00FB3C2C">
      <w:pPr>
        <w:rPr>
          <w:color w:val="auto"/>
        </w:rPr>
      </w:pPr>
      <w:r w:rsidRPr="00FB3C2C">
        <w:rPr>
          <w:color w:val="auto"/>
        </w:rPr>
        <w:t xml:space="preserve">NBC has remained steady at </w:t>
      </w:r>
      <w:r>
        <w:rPr>
          <w:color w:val="auto"/>
        </w:rPr>
        <w:t>around 3% across the four-year span</w:t>
      </w:r>
    </w:p>
    <w:p w14:paraId="2791AE86" w14:textId="14E858E7" w:rsidR="004D73B2" w:rsidRDefault="004D73B2" w:rsidP="004D73B2">
      <w:pPr>
        <w:pStyle w:val="Heading5"/>
      </w:pPr>
      <w:r>
        <w:t>PM</w:t>
      </w:r>
    </w:p>
    <w:p w14:paraId="30A75C94" w14:textId="3F688F47" w:rsidR="004D73B2" w:rsidRPr="00FB3C2C" w:rsidRDefault="00FB3C2C" w:rsidP="00FB3C2C">
      <w:pPr>
        <w:rPr>
          <w:color w:val="auto"/>
        </w:rPr>
      </w:pPr>
      <w:r>
        <w:rPr>
          <w:color w:val="auto"/>
        </w:rPr>
        <w:t xml:space="preserve">Profit margin through the restated figure is up due to the fact that AIA has had a reliance on finance to fund activities. Again, they have displayed large margins post </w:t>
      </w:r>
      <w:r w:rsidR="00E5143B">
        <w:rPr>
          <w:color w:val="auto"/>
        </w:rPr>
        <w:t xml:space="preserve">expansion works showing their ability to capitalize on upgrades. </w:t>
      </w:r>
    </w:p>
    <w:p w14:paraId="0C21A230" w14:textId="0A047628" w:rsidR="004D73B2" w:rsidRDefault="004D73B2" w:rsidP="004D73B2">
      <w:pPr>
        <w:pStyle w:val="Heading5"/>
      </w:pPr>
      <w:r>
        <w:t>ATO</w:t>
      </w:r>
    </w:p>
    <w:p w14:paraId="0986B3DD" w14:textId="7F11117B" w:rsidR="004D73B2" w:rsidRPr="002D05B4" w:rsidRDefault="002D05B4" w:rsidP="004D73B2">
      <w:pPr>
        <w:rPr>
          <w:color w:val="auto"/>
        </w:rPr>
      </w:pPr>
      <w:r w:rsidRPr="002D05B4">
        <w:rPr>
          <w:color w:val="auto"/>
        </w:rPr>
        <w:t xml:space="preserve">As previously discussed ATO is low for AIA as they are an infrastructure provider. </w:t>
      </w:r>
    </w:p>
    <w:p w14:paraId="52776B13" w14:textId="3A82F41B" w:rsidR="004D73B2" w:rsidRDefault="004D73B2" w:rsidP="00BF3CFF">
      <w:pPr>
        <w:pStyle w:val="Heading3"/>
      </w:pPr>
    </w:p>
    <w:p w14:paraId="4CDB7172" w14:textId="77777777" w:rsidR="00BA44B4" w:rsidRPr="00BA44B4" w:rsidRDefault="00BA44B4" w:rsidP="00BA44B4"/>
    <w:p w14:paraId="2DF7B93F" w14:textId="342D8C98" w:rsidR="00BF3CFF" w:rsidRPr="00BF3CFF" w:rsidRDefault="00642B14" w:rsidP="00BF3CFF">
      <w:pPr>
        <w:pStyle w:val="Heading3"/>
      </w:pPr>
      <w:r w:rsidRPr="00642B14">
        <w:lastRenderedPageBreak/>
        <w:t>Economic profit</w:t>
      </w:r>
    </w:p>
    <w:p w14:paraId="7F88CB20" w14:textId="194AD69E" w:rsidR="00E5143B" w:rsidRDefault="00642B14" w:rsidP="00642B14">
      <w:r w:rsidRPr="00642B14">
        <w:rPr>
          <w:noProof/>
        </w:rPr>
        <w:drawing>
          <wp:inline distT="0" distB="0" distL="0" distR="0" wp14:anchorId="5BF3EB18" wp14:editId="52DD1474">
            <wp:extent cx="5486400" cy="220182"/>
            <wp:effectExtent l="0" t="0" r="0" b="889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486400" cy="220182"/>
                    </a:xfrm>
                    <a:prstGeom prst="rect">
                      <a:avLst/>
                    </a:prstGeom>
                    <a:noFill/>
                    <a:ln>
                      <a:noFill/>
                    </a:ln>
                  </pic:spPr>
                </pic:pic>
              </a:graphicData>
            </a:graphic>
          </wp:inline>
        </w:drawing>
      </w:r>
    </w:p>
    <w:p w14:paraId="1CAF99E4" w14:textId="40602F16" w:rsidR="00E5143B" w:rsidRDefault="00E5143B" w:rsidP="00E5143B">
      <w:pPr>
        <w:rPr>
          <w:color w:val="auto"/>
        </w:rPr>
      </w:pPr>
      <w:r>
        <w:rPr>
          <w:color w:val="auto"/>
        </w:rPr>
        <w:t>I was unable to find the WACC figure and as such used the 10% suggested by Martin. I would actually suspect it may be slightly lower although not surprising AIA is into the negative in FY15 &amp;17. This is due to large capital works across these years and AIAs inability to use their own infrastructure to generate income. The large push to maintain assets in order to generate income is married up with their constant development works. Also, as previously discussed AIA often doesn’t see profit immediately after capital works due to the significant outlay. They do however re-gain “use” and as such are able to put themselves back in a better financial position the following year. A higher RNOA is relative to a better EP on the years AIA has performed well.</w:t>
      </w:r>
    </w:p>
    <w:p w14:paraId="2AB33D66" w14:textId="77777777" w:rsidR="00886EC0" w:rsidRDefault="00E5143B" w:rsidP="00886EC0">
      <w:pPr>
        <w:pStyle w:val="Heading1"/>
      </w:pPr>
      <w:r>
        <w:rPr>
          <w:color w:val="auto"/>
        </w:rPr>
        <w:br/>
      </w:r>
      <w:r w:rsidR="00886EC0">
        <w:t xml:space="preserve">Step </w:t>
      </w:r>
      <w:r w:rsidR="00886EC0">
        <w:t>9</w:t>
      </w:r>
      <w:r w:rsidR="00886EC0">
        <w:t xml:space="preserve">: </w:t>
      </w:r>
      <w:r w:rsidR="00886EC0">
        <w:t>Capital Investment Decision</w:t>
      </w:r>
    </w:p>
    <w:p w14:paraId="77724E03" w14:textId="77777777" w:rsidR="0097607D" w:rsidRDefault="0097607D" w:rsidP="00886EC0">
      <w:pPr>
        <w:pStyle w:val="Heading1"/>
      </w:pPr>
    </w:p>
    <w:p w14:paraId="241693D9" w14:textId="12DDC679" w:rsidR="00886EC0" w:rsidRPr="005A4E0F" w:rsidRDefault="00A00989" w:rsidP="00A00989">
      <w:pPr>
        <w:rPr>
          <w:color w:val="auto"/>
        </w:rPr>
      </w:pPr>
      <w:r w:rsidRPr="005A4E0F">
        <w:rPr>
          <w:color w:val="auto"/>
        </w:rPr>
        <w:t>AIA</w:t>
      </w:r>
      <w:r w:rsidR="00886EC0" w:rsidRPr="005A4E0F">
        <w:rPr>
          <w:color w:val="auto"/>
        </w:rPr>
        <w:t xml:space="preserve"> </w:t>
      </w:r>
      <w:r w:rsidRPr="005A4E0F">
        <w:rPr>
          <w:color w:val="auto"/>
        </w:rPr>
        <w:t xml:space="preserve">has recently </w:t>
      </w:r>
      <w:r w:rsidRPr="005A4E0F">
        <w:rPr>
          <w:color w:val="auto"/>
        </w:rPr>
        <w:t>continued to</w:t>
      </w:r>
      <w:r w:rsidRPr="005A4E0F">
        <w:rPr>
          <w:color w:val="auto"/>
        </w:rPr>
        <w:t xml:space="preserve"> </w:t>
      </w:r>
      <w:r w:rsidRPr="005A4E0F">
        <w:rPr>
          <w:color w:val="auto"/>
        </w:rPr>
        <w:t>expand and diversify</w:t>
      </w:r>
      <w:r w:rsidRPr="005A4E0F">
        <w:rPr>
          <w:color w:val="auto"/>
        </w:rPr>
        <w:t xml:space="preserve"> its internal real-estate portfolio.</w:t>
      </w:r>
      <w:r w:rsidRPr="005A4E0F">
        <w:rPr>
          <w:color w:val="auto"/>
        </w:rPr>
        <w:t xml:space="preserve"> Six new development</w:t>
      </w:r>
      <w:r w:rsidRPr="005A4E0F">
        <w:rPr>
          <w:color w:val="auto"/>
        </w:rPr>
        <w:t xml:space="preserve"> </w:t>
      </w:r>
      <w:r w:rsidRPr="005A4E0F">
        <w:rPr>
          <w:color w:val="auto"/>
        </w:rPr>
        <w:t>projects were completed</w:t>
      </w:r>
      <w:r w:rsidRPr="005A4E0F">
        <w:rPr>
          <w:color w:val="auto"/>
        </w:rPr>
        <w:t xml:space="preserve"> in FY18</w:t>
      </w:r>
      <w:r w:rsidRPr="005A4E0F">
        <w:rPr>
          <w:color w:val="auto"/>
        </w:rPr>
        <w:t>, adding more</w:t>
      </w:r>
      <w:r w:rsidRPr="005A4E0F">
        <w:rPr>
          <w:color w:val="auto"/>
        </w:rPr>
        <w:t xml:space="preserve"> </w:t>
      </w:r>
      <w:r w:rsidRPr="005A4E0F">
        <w:rPr>
          <w:color w:val="auto"/>
        </w:rPr>
        <w:t>than 70,000m2 of net lettable area –</w:t>
      </w:r>
      <w:r w:rsidRPr="005A4E0F">
        <w:rPr>
          <w:color w:val="auto"/>
        </w:rPr>
        <w:t xml:space="preserve"> </w:t>
      </w:r>
      <w:r w:rsidRPr="005A4E0F">
        <w:rPr>
          <w:color w:val="auto"/>
        </w:rPr>
        <w:t>increasing annual rental income 16.2%,</w:t>
      </w:r>
      <w:r w:rsidRPr="005A4E0F">
        <w:rPr>
          <w:color w:val="auto"/>
        </w:rPr>
        <w:t xml:space="preserve"> </w:t>
      </w:r>
      <w:r w:rsidRPr="005A4E0F">
        <w:rPr>
          <w:color w:val="auto"/>
        </w:rPr>
        <w:t>from $68.1 million to $79.1 million.</w:t>
      </w:r>
      <w:r w:rsidRPr="005A4E0F">
        <w:rPr>
          <w:color w:val="auto"/>
        </w:rPr>
        <w:t xml:space="preserve"> </w:t>
      </w:r>
    </w:p>
    <w:p w14:paraId="6113BE7C" w14:textId="4D8039B8" w:rsidR="00A00989" w:rsidRPr="005A4E0F" w:rsidRDefault="00A00989" w:rsidP="00A00989">
      <w:pPr>
        <w:rPr>
          <w:color w:val="auto"/>
        </w:rPr>
      </w:pPr>
      <w:r w:rsidRPr="005A4E0F">
        <w:rPr>
          <w:color w:val="auto"/>
        </w:rPr>
        <w:t>It is undoubtable that two major areas where AIA have focused its capital investment decisions in order to generate income is car parking and rental space.</w:t>
      </w:r>
      <w:r w:rsidR="00F72E4C" w:rsidRPr="005A4E0F">
        <w:rPr>
          <w:color w:val="auto"/>
        </w:rPr>
        <w:t xml:space="preserve"> These decisions are strategic and long term and apart of AIAs 5-year planning.</w:t>
      </w:r>
      <w:r w:rsidRPr="005A4E0F">
        <w:rPr>
          <w:color w:val="auto"/>
        </w:rPr>
        <w:t xml:space="preserve"> In 2018 car parking and rental properties (particularly warehousing) attributed to $61M and $97.6M of AIAs income respectively. On top of their ability to generate large returns on these investments both also enable AIA to generate income for airfield expansions without having to invest in additional resources to ensure these are profitable.</w:t>
      </w:r>
    </w:p>
    <w:p w14:paraId="6469F3FC" w14:textId="63F35117" w:rsidR="00A00989" w:rsidRPr="005A4E0F" w:rsidRDefault="00A00989" w:rsidP="00A00989">
      <w:pPr>
        <w:rPr>
          <w:color w:val="auto"/>
        </w:rPr>
      </w:pPr>
      <w:r w:rsidRPr="005A4E0F">
        <w:rPr>
          <w:color w:val="auto"/>
        </w:rPr>
        <w:t xml:space="preserve">Therefore, the goal will be to develop a capital investment decision on </w:t>
      </w:r>
      <w:r w:rsidR="008366BA" w:rsidRPr="005A4E0F">
        <w:rPr>
          <w:color w:val="auto"/>
        </w:rPr>
        <w:t xml:space="preserve">two independent projects; </w:t>
      </w:r>
      <w:r w:rsidRPr="005A4E0F">
        <w:rPr>
          <w:color w:val="auto"/>
        </w:rPr>
        <w:t>a new car parking</w:t>
      </w:r>
      <w:r w:rsidR="00F72E4C" w:rsidRPr="005A4E0F">
        <w:rPr>
          <w:color w:val="auto"/>
        </w:rPr>
        <w:t xml:space="preserve"> extension </w:t>
      </w:r>
      <w:r w:rsidRPr="005A4E0F">
        <w:rPr>
          <w:color w:val="auto"/>
        </w:rPr>
        <w:t xml:space="preserve">and a large warehouse </w:t>
      </w:r>
      <w:r w:rsidR="00F72E4C" w:rsidRPr="005A4E0F">
        <w:rPr>
          <w:color w:val="auto"/>
        </w:rPr>
        <w:t xml:space="preserve">development </w:t>
      </w:r>
      <w:r w:rsidRPr="005A4E0F">
        <w:rPr>
          <w:color w:val="auto"/>
        </w:rPr>
        <w:t xml:space="preserve">available for rent. </w:t>
      </w:r>
    </w:p>
    <w:p w14:paraId="2036AF24" w14:textId="22364E84" w:rsidR="00A00989" w:rsidRPr="005A4E0F" w:rsidRDefault="00A00989" w:rsidP="00A00989">
      <w:pPr>
        <w:rPr>
          <w:color w:val="auto"/>
        </w:rPr>
      </w:pPr>
      <w:r w:rsidRPr="005A4E0F">
        <w:rPr>
          <w:color w:val="auto"/>
        </w:rPr>
        <w:t xml:space="preserve">Some areas that will </w:t>
      </w:r>
      <w:r w:rsidR="00A173C2" w:rsidRPr="005A4E0F">
        <w:rPr>
          <w:color w:val="auto"/>
        </w:rPr>
        <w:t>be a hindrance on this capital decision will be access to actual information on what the potential return could be and also the cost for such a decision.</w:t>
      </w:r>
    </w:p>
    <w:p w14:paraId="4ABEC3F0" w14:textId="41E93610" w:rsidR="00F72E4C" w:rsidRPr="005A4E0F" w:rsidRDefault="00A173C2" w:rsidP="00A00989">
      <w:pPr>
        <w:rPr>
          <w:color w:val="auto"/>
        </w:rPr>
      </w:pPr>
      <w:r w:rsidRPr="005A4E0F">
        <w:rPr>
          <w:color w:val="auto"/>
        </w:rPr>
        <w:t>In the 2018 annual report AIA discuss the capital investment decisions they have made, and the costs associated. The goal will be to use these figures, however determining the exact income</w:t>
      </w:r>
      <w:r w:rsidR="00F72E4C" w:rsidRPr="005A4E0F">
        <w:rPr>
          <w:color w:val="auto"/>
        </w:rPr>
        <w:t xml:space="preserve"> </w:t>
      </w:r>
      <w:r w:rsidRPr="005A4E0F">
        <w:rPr>
          <w:color w:val="auto"/>
        </w:rPr>
        <w:t xml:space="preserve">they could possibly </w:t>
      </w:r>
      <w:r w:rsidR="008366BA" w:rsidRPr="005A4E0F">
        <w:rPr>
          <w:color w:val="auto"/>
        </w:rPr>
        <w:t>generate,</w:t>
      </w:r>
      <w:r w:rsidRPr="005A4E0F">
        <w:rPr>
          <w:color w:val="auto"/>
        </w:rPr>
        <w:t xml:space="preserve"> </w:t>
      </w:r>
      <w:r w:rsidR="00F72E4C" w:rsidRPr="005A4E0F">
        <w:rPr>
          <w:color w:val="auto"/>
        </w:rPr>
        <w:t xml:space="preserve">and the CM </w:t>
      </w:r>
      <w:r w:rsidRPr="005A4E0F">
        <w:rPr>
          <w:color w:val="auto"/>
        </w:rPr>
        <w:t>will be a guess at best</w:t>
      </w:r>
      <w:r w:rsidR="00F72E4C" w:rsidRPr="005A4E0F">
        <w:rPr>
          <w:color w:val="auto"/>
        </w:rPr>
        <w:t>, as such we will use figures from step 7.</w:t>
      </w:r>
    </w:p>
    <w:p w14:paraId="2ACBD6C2" w14:textId="68FAAD3C" w:rsidR="001B4B62" w:rsidRDefault="001B4B62" w:rsidP="00A00989"/>
    <w:p w14:paraId="73D4D20D" w14:textId="5FE44EAC" w:rsidR="001B4B62" w:rsidRDefault="001B4B62" w:rsidP="00A00989">
      <w:r w:rsidRPr="001B4B62">
        <w:lastRenderedPageBreak/>
        <w:drawing>
          <wp:anchor distT="0" distB="0" distL="114300" distR="114300" simplePos="0" relativeHeight="251658240" behindDoc="1" locked="0" layoutInCell="1" allowOverlap="1" wp14:anchorId="519D1160" wp14:editId="6FC6C2A3">
            <wp:simplePos x="0" y="0"/>
            <wp:positionH relativeFrom="column">
              <wp:posOffset>807212</wp:posOffset>
            </wp:positionH>
            <wp:positionV relativeFrom="paragraph">
              <wp:posOffset>280416</wp:posOffset>
            </wp:positionV>
            <wp:extent cx="3493135" cy="2755265"/>
            <wp:effectExtent l="0" t="0" r="0" b="6985"/>
            <wp:wrapTight wrapText="bothSides">
              <wp:wrapPolygon edited="0">
                <wp:start x="0" y="0"/>
                <wp:lineTo x="0" y="21505"/>
                <wp:lineTo x="21439" y="21505"/>
                <wp:lineTo x="21439" y="0"/>
                <wp:lineTo x="0" y="0"/>
              </wp:wrapPolygon>
            </wp:wrapTight>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493135" cy="2755265"/>
                    </a:xfrm>
                    <a:prstGeom prst="rect">
                      <a:avLst/>
                    </a:prstGeom>
                    <a:noFill/>
                    <a:ln>
                      <a:noFill/>
                    </a:ln>
                  </pic:spPr>
                </pic:pic>
              </a:graphicData>
            </a:graphic>
          </wp:anchor>
        </w:drawing>
      </w:r>
    </w:p>
    <w:p w14:paraId="214D4FFB" w14:textId="31BA14DA" w:rsidR="00A173C2" w:rsidRDefault="00F72E4C" w:rsidP="00A00989">
      <w:r>
        <w:t xml:space="preserve"> </w:t>
      </w:r>
    </w:p>
    <w:p w14:paraId="7DF007EB" w14:textId="77777777" w:rsidR="00A173C2" w:rsidRDefault="00A173C2" w:rsidP="00A00989"/>
    <w:p w14:paraId="67182CF5" w14:textId="4640ED32" w:rsidR="001B4B62" w:rsidRDefault="001B4B62" w:rsidP="00E5143B">
      <w:pPr>
        <w:rPr>
          <w:color w:val="auto"/>
        </w:rPr>
      </w:pPr>
    </w:p>
    <w:p w14:paraId="75F28F48" w14:textId="77777777" w:rsidR="001B4B62" w:rsidRPr="001B4B62" w:rsidRDefault="001B4B62" w:rsidP="001B4B62"/>
    <w:p w14:paraId="5B419E46" w14:textId="77777777" w:rsidR="001B4B62" w:rsidRPr="001B4B62" w:rsidRDefault="001B4B62" w:rsidP="001B4B62"/>
    <w:p w14:paraId="648CC764" w14:textId="77777777" w:rsidR="001B4B62" w:rsidRPr="001B4B62" w:rsidRDefault="001B4B62" w:rsidP="001B4B62"/>
    <w:p w14:paraId="72B1A5E8" w14:textId="77777777" w:rsidR="001B4B62" w:rsidRPr="001B4B62" w:rsidRDefault="001B4B62" w:rsidP="001B4B62"/>
    <w:p w14:paraId="624A62E1" w14:textId="77777777" w:rsidR="001B4B62" w:rsidRPr="001B4B62" w:rsidRDefault="001B4B62" w:rsidP="001B4B62"/>
    <w:p w14:paraId="19D5F89F" w14:textId="77777777" w:rsidR="001B4B62" w:rsidRPr="001B4B62" w:rsidRDefault="001B4B62" w:rsidP="001B4B62"/>
    <w:p w14:paraId="2D5FCE9E" w14:textId="77777777" w:rsidR="001B4B62" w:rsidRPr="005A4E0F" w:rsidRDefault="001B4B62" w:rsidP="001B4B62">
      <w:pPr>
        <w:rPr>
          <w:color w:val="auto"/>
        </w:rPr>
      </w:pPr>
    </w:p>
    <w:p w14:paraId="6DD6BFCF" w14:textId="30629D73" w:rsidR="00A44E14" w:rsidRDefault="005A4E0F" w:rsidP="001B4B62">
      <w:pPr>
        <w:rPr>
          <w:color w:val="auto"/>
        </w:rPr>
      </w:pPr>
      <w:r w:rsidRPr="005A4E0F">
        <w:rPr>
          <w:color w:val="auto"/>
        </w:rPr>
        <w:t>Based on the figures above</w:t>
      </w:r>
      <w:r>
        <w:rPr>
          <w:color w:val="auto"/>
        </w:rPr>
        <w:t xml:space="preserve"> it would be advisable that both projects are viable. The beauty of AIAs position is that they have plenty of land for developments such as this and also have the ability to either lease these portfolios to outside third parties to operate or sell the assets off for future capital projects.</w:t>
      </w:r>
    </w:p>
    <w:p w14:paraId="523F12DA" w14:textId="6CFFC822" w:rsidR="00642B14" w:rsidRDefault="00642B14" w:rsidP="00A44E14"/>
    <w:p w14:paraId="2BADACED" w14:textId="40CFBB37" w:rsidR="00A44E14" w:rsidRDefault="00A44E14" w:rsidP="00A44E14"/>
    <w:p w14:paraId="7C4E12E1" w14:textId="5A374323" w:rsidR="00A44E14" w:rsidRDefault="00A44E14" w:rsidP="00A44E14"/>
    <w:p w14:paraId="15178A3B" w14:textId="431EBE38" w:rsidR="00A44E14" w:rsidRDefault="00A44E14" w:rsidP="00A44E14"/>
    <w:p w14:paraId="0D743A72" w14:textId="3EF2E18F" w:rsidR="00A44E14" w:rsidRDefault="00A44E14" w:rsidP="00A44E14"/>
    <w:p w14:paraId="06C402FE" w14:textId="28B38E29" w:rsidR="00A44E14" w:rsidRDefault="00A44E14" w:rsidP="00A44E14"/>
    <w:p w14:paraId="0B61841A" w14:textId="37159EAE" w:rsidR="00A44E14" w:rsidRDefault="00A44E14" w:rsidP="00A44E14"/>
    <w:p w14:paraId="53754CC1" w14:textId="560E7642" w:rsidR="00A44E14" w:rsidRDefault="00A44E14" w:rsidP="00A44E14"/>
    <w:p w14:paraId="03DB9C45" w14:textId="1B06B1D3" w:rsidR="00A44E14" w:rsidRDefault="00A44E14" w:rsidP="00A44E14"/>
    <w:p w14:paraId="6AE0AC50" w14:textId="483F6FE6" w:rsidR="00A44E14" w:rsidRDefault="00A44E14" w:rsidP="00A44E14"/>
    <w:p w14:paraId="44B4A7B1" w14:textId="619202AC" w:rsidR="00A44E14" w:rsidRDefault="00A44E14" w:rsidP="00A44E14"/>
    <w:p w14:paraId="397D645D" w14:textId="77777777" w:rsidR="00A44E14" w:rsidRDefault="00A44E14" w:rsidP="00A44E14">
      <w:bookmarkStart w:id="5" w:name="_GoBack"/>
      <w:bookmarkEnd w:id="5"/>
    </w:p>
    <w:sectPr w:rsidR="00A44E14" w:rsidSect="007B0BB9">
      <w:headerReference w:type="even" r:id="rId15"/>
      <w:headerReference w:type="default" r:id="rId16"/>
      <w:footerReference w:type="even" r:id="rId17"/>
      <w:footerReference w:type="default" r:id="rId18"/>
      <w:headerReference w:type="first" r:id="rId19"/>
      <w:footerReference w:type="first" r:id="rId20"/>
      <w:pgSz w:w="12240" w:h="15840"/>
      <w:pgMar w:top="1728" w:right="1800" w:bottom="1440" w:left="1800" w:header="720" w:footer="720" w:gutter="0"/>
      <w:pgNumType w:start="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D4B9342" w14:textId="77777777" w:rsidR="007B0BB9" w:rsidRDefault="007B0BB9" w:rsidP="00C6554A">
      <w:pPr>
        <w:spacing w:before="0" w:after="0" w:line="240" w:lineRule="auto"/>
      </w:pPr>
      <w:r>
        <w:separator/>
      </w:r>
    </w:p>
  </w:endnote>
  <w:endnote w:type="continuationSeparator" w:id="0">
    <w:p w14:paraId="68019E22" w14:textId="77777777" w:rsidR="007B0BB9" w:rsidRDefault="007B0BB9" w:rsidP="00C6554A">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onstantia">
    <w:panose1 w:val="02030602050306030303"/>
    <w:charset w:val="00"/>
    <w:family w:val="roman"/>
    <w:pitch w:val="variable"/>
    <w:sig w:usb0="A00002EF" w:usb1="4000204B" w:usb2="00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C2454FA" w14:textId="77777777" w:rsidR="0033705B" w:rsidRDefault="0033705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915557457"/>
      <w:docPartObj>
        <w:docPartGallery w:val="Page Numbers (Bottom of Page)"/>
        <w:docPartUnique/>
      </w:docPartObj>
    </w:sdtPr>
    <w:sdtEndPr>
      <w:rPr>
        <w:color w:val="7F7F7F" w:themeColor="background1" w:themeShade="7F"/>
        <w:spacing w:val="60"/>
      </w:rPr>
    </w:sdtEndPr>
    <w:sdtContent>
      <w:p w14:paraId="282DEF36" w14:textId="52AD7D91" w:rsidR="00BF20EE" w:rsidRDefault="00BF20EE">
        <w:pPr>
          <w:pStyle w:val="Footer"/>
          <w:pBdr>
            <w:top w:val="single" w:sz="4" w:space="1" w:color="D9D9D9" w:themeColor="background1" w:themeShade="D9"/>
          </w:pBdr>
          <w:rPr>
            <w:b/>
            <w:bCs/>
          </w:rPr>
        </w:pPr>
        <w:r>
          <w:fldChar w:fldCharType="begin"/>
        </w:r>
        <w:r>
          <w:instrText xml:space="preserve"> PAGE   \* MERGEFORMAT </w:instrText>
        </w:r>
        <w:r>
          <w:fldChar w:fldCharType="separate"/>
        </w:r>
        <w:r>
          <w:rPr>
            <w:b/>
            <w:bCs/>
            <w:noProof/>
          </w:rPr>
          <w:t>2</w:t>
        </w:r>
        <w:r>
          <w:rPr>
            <w:b/>
            <w:bCs/>
            <w:noProof/>
          </w:rPr>
          <w:fldChar w:fldCharType="end"/>
        </w:r>
        <w:r>
          <w:rPr>
            <w:b/>
            <w:bCs/>
          </w:rPr>
          <w:t xml:space="preserve"> | </w:t>
        </w:r>
        <w:r>
          <w:rPr>
            <w:color w:val="7F7F7F" w:themeColor="background1" w:themeShade="7F"/>
            <w:spacing w:val="60"/>
          </w:rPr>
          <w:t>Page</w:t>
        </w:r>
      </w:p>
    </w:sdtContent>
  </w:sdt>
  <w:p w14:paraId="5D2FDF42" w14:textId="07CE9731" w:rsidR="002163EE" w:rsidRDefault="00BF20EE" w:rsidP="00BF20EE">
    <w:pPr>
      <w:pStyle w:val="Footer"/>
      <w:jc w:val="left"/>
    </w:pPr>
    <w:r>
      <w:t>S0090574 – Hayden anderson</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D60CBD7" w14:textId="77777777" w:rsidR="0033705B" w:rsidRDefault="0033705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FF922F4" w14:textId="77777777" w:rsidR="007B0BB9" w:rsidRDefault="007B0BB9" w:rsidP="00C6554A">
      <w:pPr>
        <w:spacing w:before="0" w:after="0" w:line="240" w:lineRule="auto"/>
      </w:pPr>
      <w:r>
        <w:separator/>
      </w:r>
    </w:p>
  </w:footnote>
  <w:footnote w:type="continuationSeparator" w:id="0">
    <w:p w14:paraId="557C5746" w14:textId="77777777" w:rsidR="007B0BB9" w:rsidRDefault="007B0BB9" w:rsidP="00C6554A">
      <w:pPr>
        <w:spacing w:before="0"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CFB1541" w14:textId="77777777" w:rsidR="0033705B" w:rsidRDefault="0033705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75B36E4" w14:textId="5C931DBA" w:rsidR="007B0BB9" w:rsidRPr="007B0BB9" w:rsidRDefault="007B0BB9" w:rsidP="007B0BB9">
    <w:pPr>
      <w:pStyle w:val="Header"/>
    </w:pPr>
    <w:r w:rsidRPr="007B0BB9">
      <w:rPr>
        <w:lang w:val="en-NZ"/>
      </w:rPr>
      <w:t>ACCT11059 ACCOUNTING, LEARNING &amp; ONLINE COMMUNICATION</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29B16B" w14:textId="15F22422" w:rsidR="007B0BB9" w:rsidRDefault="007B0BB9">
    <w:pPr>
      <w:pStyle w:val="Header"/>
    </w:pPr>
    <w:r>
      <w:t>ACCT11059 Accounting, Learning &amp; Online Communication</w:t>
    </w:r>
  </w:p>
  <w:p w14:paraId="7703D010" w14:textId="77777777" w:rsidR="007B0BB9" w:rsidRDefault="007B0BB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61E62248"/>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DADA94F2"/>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A0E4E5B2"/>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B4188A06"/>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1E0C080A"/>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CB9E1936"/>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13A06938"/>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93C8D00C"/>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B87E3E76"/>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BAA6FCB4"/>
    <w:lvl w:ilvl="0">
      <w:start w:val="1"/>
      <w:numFmt w:val="bullet"/>
      <w:pStyle w:val="ListBullet"/>
      <w:lvlText w:val="−"/>
      <w:lvlJc w:val="left"/>
      <w:pPr>
        <w:ind w:left="720" w:hanging="360"/>
      </w:pPr>
      <w:rPr>
        <w:rFonts w:ascii="Century Gothic" w:hAnsi="Century Gothic" w:hint="default"/>
        <w:color w:val="0D0D0D" w:themeColor="text1" w:themeTint="F2"/>
      </w:rPr>
    </w:lvl>
  </w:abstractNum>
  <w:abstractNum w:abstractNumId="10" w15:restartNumberingAfterBreak="0">
    <w:nsid w:val="01122BF4"/>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15:restartNumberingAfterBreak="0">
    <w:nsid w:val="0A692008"/>
    <w:multiLevelType w:val="hybridMultilevel"/>
    <w:tmpl w:val="37263686"/>
    <w:lvl w:ilvl="0" w:tplc="A4DABAEC">
      <w:numFmt w:val="bullet"/>
      <w:lvlText w:val=""/>
      <w:lvlJc w:val="left"/>
      <w:pPr>
        <w:ind w:left="1080" w:hanging="360"/>
      </w:pPr>
      <w:rPr>
        <w:rFonts w:ascii="Constantia" w:eastAsiaTheme="minorHAnsi" w:hAnsi="Constantia" w:cstheme="minorBidi" w:hint="default"/>
      </w:rPr>
    </w:lvl>
    <w:lvl w:ilvl="1" w:tplc="14090003" w:tentative="1">
      <w:start w:val="1"/>
      <w:numFmt w:val="bullet"/>
      <w:lvlText w:val="o"/>
      <w:lvlJc w:val="left"/>
      <w:pPr>
        <w:ind w:left="1800" w:hanging="360"/>
      </w:pPr>
      <w:rPr>
        <w:rFonts w:ascii="Courier New" w:hAnsi="Courier New" w:cs="Courier New" w:hint="default"/>
      </w:rPr>
    </w:lvl>
    <w:lvl w:ilvl="2" w:tplc="14090005" w:tentative="1">
      <w:start w:val="1"/>
      <w:numFmt w:val="bullet"/>
      <w:lvlText w:val=""/>
      <w:lvlJc w:val="left"/>
      <w:pPr>
        <w:ind w:left="2520" w:hanging="360"/>
      </w:pPr>
      <w:rPr>
        <w:rFonts w:ascii="Wingdings" w:hAnsi="Wingdings" w:hint="default"/>
      </w:rPr>
    </w:lvl>
    <w:lvl w:ilvl="3" w:tplc="14090001" w:tentative="1">
      <w:start w:val="1"/>
      <w:numFmt w:val="bullet"/>
      <w:lvlText w:val=""/>
      <w:lvlJc w:val="left"/>
      <w:pPr>
        <w:ind w:left="3240" w:hanging="360"/>
      </w:pPr>
      <w:rPr>
        <w:rFonts w:ascii="Symbol" w:hAnsi="Symbol" w:hint="default"/>
      </w:rPr>
    </w:lvl>
    <w:lvl w:ilvl="4" w:tplc="14090003" w:tentative="1">
      <w:start w:val="1"/>
      <w:numFmt w:val="bullet"/>
      <w:lvlText w:val="o"/>
      <w:lvlJc w:val="left"/>
      <w:pPr>
        <w:ind w:left="3960" w:hanging="360"/>
      </w:pPr>
      <w:rPr>
        <w:rFonts w:ascii="Courier New" w:hAnsi="Courier New" w:cs="Courier New" w:hint="default"/>
      </w:rPr>
    </w:lvl>
    <w:lvl w:ilvl="5" w:tplc="14090005" w:tentative="1">
      <w:start w:val="1"/>
      <w:numFmt w:val="bullet"/>
      <w:lvlText w:val=""/>
      <w:lvlJc w:val="left"/>
      <w:pPr>
        <w:ind w:left="4680" w:hanging="360"/>
      </w:pPr>
      <w:rPr>
        <w:rFonts w:ascii="Wingdings" w:hAnsi="Wingdings" w:hint="default"/>
      </w:rPr>
    </w:lvl>
    <w:lvl w:ilvl="6" w:tplc="14090001" w:tentative="1">
      <w:start w:val="1"/>
      <w:numFmt w:val="bullet"/>
      <w:lvlText w:val=""/>
      <w:lvlJc w:val="left"/>
      <w:pPr>
        <w:ind w:left="5400" w:hanging="360"/>
      </w:pPr>
      <w:rPr>
        <w:rFonts w:ascii="Symbol" w:hAnsi="Symbol" w:hint="default"/>
      </w:rPr>
    </w:lvl>
    <w:lvl w:ilvl="7" w:tplc="14090003" w:tentative="1">
      <w:start w:val="1"/>
      <w:numFmt w:val="bullet"/>
      <w:lvlText w:val="o"/>
      <w:lvlJc w:val="left"/>
      <w:pPr>
        <w:ind w:left="6120" w:hanging="360"/>
      </w:pPr>
      <w:rPr>
        <w:rFonts w:ascii="Courier New" w:hAnsi="Courier New" w:cs="Courier New" w:hint="default"/>
      </w:rPr>
    </w:lvl>
    <w:lvl w:ilvl="8" w:tplc="14090005" w:tentative="1">
      <w:start w:val="1"/>
      <w:numFmt w:val="bullet"/>
      <w:lvlText w:val=""/>
      <w:lvlJc w:val="left"/>
      <w:pPr>
        <w:ind w:left="6840" w:hanging="360"/>
      </w:pPr>
      <w:rPr>
        <w:rFonts w:ascii="Wingdings" w:hAnsi="Wingdings" w:hint="default"/>
      </w:rPr>
    </w:lvl>
  </w:abstractNum>
  <w:abstractNum w:abstractNumId="12" w15:restartNumberingAfterBreak="0">
    <w:nsid w:val="0D483622"/>
    <w:multiLevelType w:val="multilevel"/>
    <w:tmpl w:val="04090023"/>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3" w15:restartNumberingAfterBreak="0">
    <w:nsid w:val="33087F80"/>
    <w:multiLevelType w:val="hybridMultilevel"/>
    <w:tmpl w:val="4C142E4C"/>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4" w15:restartNumberingAfterBreak="0">
    <w:nsid w:val="3A0B7FAA"/>
    <w:multiLevelType w:val="hybridMultilevel"/>
    <w:tmpl w:val="8C7632D0"/>
    <w:lvl w:ilvl="0" w:tplc="A4DABAEC">
      <w:numFmt w:val="bullet"/>
      <w:lvlText w:val=""/>
      <w:lvlJc w:val="left"/>
      <w:pPr>
        <w:ind w:left="720" w:hanging="360"/>
      </w:pPr>
      <w:rPr>
        <w:rFonts w:ascii="Constantia" w:eastAsiaTheme="minorHAnsi" w:hAnsi="Constantia" w:cstheme="minorBidi"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5" w15:restartNumberingAfterBreak="0">
    <w:nsid w:val="47164D09"/>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15:restartNumberingAfterBreak="0">
    <w:nsid w:val="6CA41CDB"/>
    <w:multiLevelType w:val="hybridMultilevel"/>
    <w:tmpl w:val="7B7CCE20"/>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7" w15:restartNumberingAfterBreak="0">
    <w:nsid w:val="75FB6A3E"/>
    <w:multiLevelType w:val="hybridMultilevel"/>
    <w:tmpl w:val="596C1D58"/>
    <w:lvl w:ilvl="0" w:tplc="14090001">
      <w:start w:val="1"/>
      <w:numFmt w:val="bullet"/>
      <w:lvlText w:val=""/>
      <w:lvlJc w:val="left"/>
      <w:pPr>
        <w:ind w:left="1080" w:hanging="360"/>
      </w:pPr>
      <w:rPr>
        <w:rFonts w:ascii="Symbol" w:hAnsi="Symbol" w:hint="default"/>
      </w:rPr>
    </w:lvl>
    <w:lvl w:ilvl="1" w:tplc="14090003" w:tentative="1">
      <w:start w:val="1"/>
      <w:numFmt w:val="bullet"/>
      <w:lvlText w:val="o"/>
      <w:lvlJc w:val="left"/>
      <w:pPr>
        <w:ind w:left="1800" w:hanging="360"/>
      </w:pPr>
      <w:rPr>
        <w:rFonts w:ascii="Courier New" w:hAnsi="Courier New" w:cs="Courier New" w:hint="default"/>
      </w:rPr>
    </w:lvl>
    <w:lvl w:ilvl="2" w:tplc="14090005" w:tentative="1">
      <w:start w:val="1"/>
      <w:numFmt w:val="bullet"/>
      <w:lvlText w:val=""/>
      <w:lvlJc w:val="left"/>
      <w:pPr>
        <w:ind w:left="2520" w:hanging="360"/>
      </w:pPr>
      <w:rPr>
        <w:rFonts w:ascii="Wingdings" w:hAnsi="Wingdings" w:hint="default"/>
      </w:rPr>
    </w:lvl>
    <w:lvl w:ilvl="3" w:tplc="14090001" w:tentative="1">
      <w:start w:val="1"/>
      <w:numFmt w:val="bullet"/>
      <w:lvlText w:val=""/>
      <w:lvlJc w:val="left"/>
      <w:pPr>
        <w:ind w:left="3240" w:hanging="360"/>
      </w:pPr>
      <w:rPr>
        <w:rFonts w:ascii="Symbol" w:hAnsi="Symbol" w:hint="default"/>
      </w:rPr>
    </w:lvl>
    <w:lvl w:ilvl="4" w:tplc="14090003" w:tentative="1">
      <w:start w:val="1"/>
      <w:numFmt w:val="bullet"/>
      <w:lvlText w:val="o"/>
      <w:lvlJc w:val="left"/>
      <w:pPr>
        <w:ind w:left="3960" w:hanging="360"/>
      </w:pPr>
      <w:rPr>
        <w:rFonts w:ascii="Courier New" w:hAnsi="Courier New" w:cs="Courier New" w:hint="default"/>
      </w:rPr>
    </w:lvl>
    <w:lvl w:ilvl="5" w:tplc="14090005" w:tentative="1">
      <w:start w:val="1"/>
      <w:numFmt w:val="bullet"/>
      <w:lvlText w:val=""/>
      <w:lvlJc w:val="left"/>
      <w:pPr>
        <w:ind w:left="4680" w:hanging="360"/>
      </w:pPr>
      <w:rPr>
        <w:rFonts w:ascii="Wingdings" w:hAnsi="Wingdings" w:hint="default"/>
      </w:rPr>
    </w:lvl>
    <w:lvl w:ilvl="6" w:tplc="14090001" w:tentative="1">
      <w:start w:val="1"/>
      <w:numFmt w:val="bullet"/>
      <w:lvlText w:val=""/>
      <w:lvlJc w:val="left"/>
      <w:pPr>
        <w:ind w:left="5400" w:hanging="360"/>
      </w:pPr>
      <w:rPr>
        <w:rFonts w:ascii="Symbol" w:hAnsi="Symbol" w:hint="default"/>
      </w:rPr>
    </w:lvl>
    <w:lvl w:ilvl="7" w:tplc="14090003" w:tentative="1">
      <w:start w:val="1"/>
      <w:numFmt w:val="bullet"/>
      <w:lvlText w:val="o"/>
      <w:lvlJc w:val="left"/>
      <w:pPr>
        <w:ind w:left="6120" w:hanging="360"/>
      </w:pPr>
      <w:rPr>
        <w:rFonts w:ascii="Courier New" w:hAnsi="Courier New" w:cs="Courier New" w:hint="default"/>
      </w:rPr>
    </w:lvl>
    <w:lvl w:ilvl="8" w:tplc="14090005" w:tentative="1">
      <w:start w:val="1"/>
      <w:numFmt w:val="bullet"/>
      <w:lvlText w:val=""/>
      <w:lvlJc w:val="left"/>
      <w:pPr>
        <w:ind w:left="6840" w:hanging="360"/>
      </w:pPr>
      <w:rPr>
        <w:rFonts w:ascii="Wingdings" w:hAnsi="Wingdings" w:hint="default"/>
      </w:rPr>
    </w:lvl>
  </w:abstractNum>
  <w:num w:numId="1">
    <w:abstractNumId w:val="9"/>
  </w:num>
  <w:num w:numId="2">
    <w:abstractNumId w:val="8"/>
  </w:num>
  <w:num w:numId="3">
    <w:abstractNumId w:val="8"/>
  </w:num>
  <w:num w:numId="4">
    <w:abstractNumId w:val="9"/>
  </w:num>
  <w:num w:numId="5">
    <w:abstractNumId w:val="15"/>
  </w:num>
  <w:num w:numId="6">
    <w:abstractNumId w:val="10"/>
  </w:num>
  <w:num w:numId="7">
    <w:abstractNumId w:val="12"/>
  </w:num>
  <w:num w:numId="8">
    <w:abstractNumId w:val="7"/>
  </w:num>
  <w:num w:numId="9">
    <w:abstractNumId w:val="6"/>
  </w:num>
  <w:num w:numId="10">
    <w:abstractNumId w:val="5"/>
  </w:num>
  <w:num w:numId="11">
    <w:abstractNumId w:val="4"/>
  </w:num>
  <w:num w:numId="12">
    <w:abstractNumId w:val="3"/>
  </w:num>
  <w:num w:numId="13">
    <w:abstractNumId w:val="2"/>
  </w:num>
  <w:num w:numId="14">
    <w:abstractNumId w:val="1"/>
  </w:num>
  <w:num w:numId="15">
    <w:abstractNumId w:val="0"/>
  </w:num>
  <w:num w:numId="16">
    <w:abstractNumId w:val="13"/>
  </w:num>
  <w:num w:numId="17">
    <w:abstractNumId w:val="14"/>
  </w:num>
  <w:num w:numId="18">
    <w:abstractNumId w:val="11"/>
  </w:num>
  <w:num w:numId="19">
    <w:abstractNumId w:val="17"/>
  </w:num>
  <w:num w:numId="20">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4"/>
  <w:proofState w:spelling="clean" w:grammar="clean"/>
  <w:attachedTemplate r:id="rId1"/>
  <w:defaultTabStop w:val="720"/>
  <w:characterSpacingControl w:val="doNotCompress"/>
  <w:hdrShapeDefaults>
    <o:shapedefaults v:ext="edit" spidmax="2048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0BB9"/>
    <w:rsid w:val="00012598"/>
    <w:rsid w:val="000216F0"/>
    <w:rsid w:val="000241C5"/>
    <w:rsid w:val="00024B31"/>
    <w:rsid w:val="00092453"/>
    <w:rsid w:val="00095CAA"/>
    <w:rsid w:val="000B4636"/>
    <w:rsid w:val="000B4A23"/>
    <w:rsid w:val="000E766F"/>
    <w:rsid w:val="000F0ECD"/>
    <w:rsid w:val="000F71E2"/>
    <w:rsid w:val="00122494"/>
    <w:rsid w:val="00165F81"/>
    <w:rsid w:val="0017022C"/>
    <w:rsid w:val="001710F1"/>
    <w:rsid w:val="001972F5"/>
    <w:rsid w:val="001B4B62"/>
    <w:rsid w:val="0020489F"/>
    <w:rsid w:val="00211CC1"/>
    <w:rsid w:val="00213200"/>
    <w:rsid w:val="00217039"/>
    <w:rsid w:val="002554CD"/>
    <w:rsid w:val="00267A41"/>
    <w:rsid w:val="00281DCC"/>
    <w:rsid w:val="00293B83"/>
    <w:rsid w:val="002B1879"/>
    <w:rsid w:val="002B4294"/>
    <w:rsid w:val="002C7263"/>
    <w:rsid w:val="002D05B4"/>
    <w:rsid w:val="002E38CB"/>
    <w:rsid w:val="00315829"/>
    <w:rsid w:val="00320ED8"/>
    <w:rsid w:val="00333D0D"/>
    <w:rsid w:val="0033705B"/>
    <w:rsid w:val="00362542"/>
    <w:rsid w:val="003E25B9"/>
    <w:rsid w:val="00416EFE"/>
    <w:rsid w:val="004C049F"/>
    <w:rsid w:val="004D73B2"/>
    <w:rsid w:val="004E4731"/>
    <w:rsid w:val="005000E2"/>
    <w:rsid w:val="00552960"/>
    <w:rsid w:val="005A4E0F"/>
    <w:rsid w:val="005A70A3"/>
    <w:rsid w:val="005C17DE"/>
    <w:rsid w:val="005F4935"/>
    <w:rsid w:val="00642B14"/>
    <w:rsid w:val="00660427"/>
    <w:rsid w:val="006956A5"/>
    <w:rsid w:val="006957A6"/>
    <w:rsid w:val="006A3CE7"/>
    <w:rsid w:val="006B5872"/>
    <w:rsid w:val="006C740D"/>
    <w:rsid w:val="006F3141"/>
    <w:rsid w:val="006F7AB8"/>
    <w:rsid w:val="007431C5"/>
    <w:rsid w:val="00771F25"/>
    <w:rsid w:val="0078459C"/>
    <w:rsid w:val="007A4BB5"/>
    <w:rsid w:val="007B0BB9"/>
    <w:rsid w:val="00830A66"/>
    <w:rsid w:val="008366BA"/>
    <w:rsid w:val="00853C1B"/>
    <w:rsid w:val="00875E98"/>
    <w:rsid w:val="0088670C"/>
    <w:rsid w:val="00886EC0"/>
    <w:rsid w:val="0088725D"/>
    <w:rsid w:val="008D2E3B"/>
    <w:rsid w:val="0092358B"/>
    <w:rsid w:val="00944690"/>
    <w:rsid w:val="00954870"/>
    <w:rsid w:val="0097607D"/>
    <w:rsid w:val="009B17BC"/>
    <w:rsid w:val="009C4529"/>
    <w:rsid w:val="009E50BF"/>
    <w:rsid w:val="00A00989"/>
    <w:rsid w:val="00A1503E"/>
    <w:rsid w:val="00A173C2"/>
    <w:rsid w:val="00A20E88"/>
    <w:rsid w:val="00A44E14"/>
    <w:rsid w:val="00AA1092"/>
    <w:rsid w:val="00B12E97"/>
    <w:rsid w:val="00B748C6"/>
    <w:rsid w:val="00BA44B4"/>
    <w:rsid w:val="00BA4C66"/>
    <w:rsid w:val="00BD38F6"/>
    <w:rsid w:val="00BE3AC5"/>
    <w:rsid w:val="00BF20EE"/>
    <w:rsid w:val="00BF3CFF"/>
    <w:rsid w:val="00C252F0"/>
    <w:rsid w:val="00C6554A"/>
    <w:rsid w:val="00CB69E9"/>
    <w:rsid w:val="00CF55C7"/>
    <w:rsid w:val="00D262DE"/>
    <w:rsid w:val="00D47EE5"/>
    <w:rsid w:val="00D61F38"/>
    <w:rsid w:val="00D77FCB"/>
    <w:rsid w:val="00DB0878"/>
    <w:rsid w:val="00E15B8F"/>
    <w:rsid w:val="00E26CC6"/>
    <w:rsid w:val="00E47915"/>
    <w:rsid w:val="00E5143B"/>
    <w:rsid w:val="00E7500F"/>
    <w:rsid w:val="00EB64F3"/>
    <w:rsid w:val="00ED7C44"/>
    <w:rsid w:val="00F37FE2"/>
    <w:rsid w:val="00F44F4B"/>
    <w:rsid w:val="00F628AF"/>
    <w:rsid w:val="00F72E4C"/>
    <w:rsid w:val="00F83BAC"/>
    <w:rsid w:val="00FA23DC"/>
    <w:rsid w:val="00FB3C2C"/>
    <w:rsid w:val="00FD048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81"/>
    <o:shapelayout v:ext="edit">
      <o:idmap v:ext="edit" data="1"/>
    </o:shapelayout>
  </w:shapeDefaults>
  <w:decimalSymbol w:val="."/>
  <w:listSeparator w:val=","/>
  <w14:docId w14:val="04316678"/>
  <w15:chartTrackingRefBased/>
  <w15:docId w15:val="{440FC6E4-F271-48DE-AFED-406D80E912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color w:val="595959" w:themeColor="text1" w:themeTint="A6"/>
        <w:sz w:val="22"/>
        <w:szCs w:val="22"/>
        <w:lang w:val="en-US" w:eastAsia="en-US" w:bidi="ar-SA"/>
      </w:rPr>
    </w:rPrDefault>
    <w:pPrDefault>
      <w:pPr>
        <w:spacing w:before="120" w:after="200" w:line="264"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10" w:unhideWhenUsed="1" w:qFormat="1"/>
    <w:lsdException w:name="List Number" w:semiHidden="1" w:uiPriority="11"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iPriority="2" w:unhideWhenUsed="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3"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333D0D"/>
  </w:style>
  <w:style w:type="paragraph" w:styleId="Heading1">
    <w:name w:val="heading 1"/>
    <w:basedOn w:val="Normal"/>
    <w:next w:val="Normal"/>
    <w:link w:val="Heading1Char"/>
    <w:uiPriority w:val="9"/>
    <w:qFormat/>
    <w:rsid w:val="00333D0D"/>
    <w:pPr>
      <w:keepNext/>
      <w:keepLines/>
      <w:spacing w:before="600" w:after="60"/>
      <w:contextualSpacing/>
      <w:outlineLvl w:val="0"/>
    </w:pPr>
    <w:rPr>
      <w:rFonts w:asciiTheme="majorHAnsi" w:eastAsiaTheme="majorEastAsia" w:hAnsiTheme="majorHAnsi" w:cstheme="majorBidi"/>
      <w:color w:val="007789" w:themeColor="accent1" w:themeShade="BF"/>
      <w:sz w:val="32"/>
    </w:rPr>
  </w:style>
  <w:style w:type="paragraph" w:styleId="Heading2">
    <w:name w:val="heading 2"/>
    <w:basedOn w:val="Normal"/>
    <w:next w:val="Normal"/>
    <w:link w:val="Heading2Char"/>
    <w:uiPriority w:val="9"/>
    <w:unhideWhenUsed/>
    <w:qFormat/>
    <w:rsid w:val="00333D0D"/>
    <w:pPr>
      <w:keepNext/>
      <w:keepLines/>
      <w:spacing w:before="240" w:after="0"/>
      <w:contextualSpacing/>
      <w:outlineLvl w:val="1"/>
    </w:pPr>
    <w:rPr>
      <w:rFonts w:asciiTheme="majorHAnsi" w:eastAsiaTheme="majorEastAsia" w:hAnsiTheme="majorHAnsi" w:cstheme="majorBidi"/>
      <w:caps/>
      <w:color w:val="007789" w:themeColor="accent1" w:themeShade="BF"/>
      <w:sz w:val="24"/>
    </w:rPr>
  </w:style>
  <w:style w:type="paragraph" w:styleId="Heading3">
    <w:name w:val="heading 3"/>
    <w:basedOn w:val="Normal"/>
    <w:next w:val="Normal"/>
    <w:link w:val="Heading3Char"/>
    <w:uiPriority w:val="9"/>
    <w:unhideWhenUsed/>
    <w:qFormat/>
    <w:rsid w:val="002554CD"/>
    <w:pPr>
      <w:keepNext/>
      <w:keepLines/>
      <w:spacing w:before="40" w:after="0"/>
      <w:outlineLvl w:val="2"/>
    </w:pPr>
    <w:rPr>
      <w:rFonts w:asciiTheme="majorHAnsi" w:eastAsiaTheme="majorEastAsia" w:hAnsiTheme="majorHAnsi" w:cstheme="majorBidi"/>
      <w:color w:val="004F5B" w:themeColor="accent1" w:themeShade="7F"/>
      <w:sz w:val="24"/>
      <w:szCs w:val="24"/>
    </w:rPr>
  </w:style>
  <w:style w:type="paragraph" w:styleId="Heading4">
    <w:name w:val="heading 4"/>
    <w:basedOn w:val="Normal"/>
    <w:next w:val="Normal"/>
    <w:link w:val="Heading4Char"/>
    <w:uiPriority w:val="9"/>
    <w:unhideWhenUsed/>
    <w:qFormat/>
    <w:rsid w:val="0092358B"/>
    <w:pPr>
      <w:keepNext/>
      <w:keepLines/>
      <w:spacing w:before="40" w:after="0"/>
      <w:outlineLvl w:val="3"/>
    </w:pPr>
    <w:rPr>
      <w:rFonts w:asciiTheme="majorHAnsi" w:eastAsiaTheme="majorEastAsia" w:hAnsiTheme="majorHAnsi" w:cstheme="majorBidi"/>
      <w:i/>
      <w:iCs/>
      <w:color w:val="007789" w:themeColor="accent1" w:themeShade="BF"/>
    </w:rPr>
  </w:style>
  <w:style w:type="paragraph" w:styleId="Heading5">
    <w:name w:val="heading 5"/>
    <w:basedOn w:val="Normal"/>
    <w:next w:val="Normal"/>
    <w:link w:val="Heading5Char"/>
    <w:uiPriority w:val="9"/>
    <w:unhideWhenUsed/>
    <w:qFormat/>
    <w:rsid w:val="004D73B2"/>
    <w:pPr>
      <w:keepNext/>
      <w:keepLines/>
      <w:spacing w:before="40" w:after="0"/>
      <w:outlineLvl w:val="4"/>
    </w:pPr>
    <w:rPr>
      <w:rFonts w:asciiTheme="majorHAnsi" w:eastAsiaTheme="majorEastAsia" w:hAnsiTheme="majorHAnsi" w:cstheme="majorBidi"/>
      <w:color w:val="007789" w:themeColor="accent1" w:themeShade="BF"/>
    </w:rPr>
  </w:style>
  <w:style w:type="paragraph" w:styleId="Heading6">
    <w:name w:val="heading 6"/>
    <w:basedOn w:val="Normal"/>
    <w:next w:val="Normal"/>
    <w:link w:val="Heading6Char"/>
    <w:uiPriority w:val="9"/>
    <w:semiHidden/>
    <w:unhideWhenUsed/>
    <w:qFormat/>
    <w:rsid w:val="002554CD"/>
    <w:pPr>
      <w:keepNext/>
      <w:keepLines/>
      <w:spacing w:before="40" w:after="0"/>
      <w:outlineLvl w:val="5"/>
    </w:pPr>
    <w:rPr>
      <w:rFonts w:asciiTheme="majorHAnsi" w:eastAsiaTheme="majorEastAsia" w:hAnsiTheme="majorHAnsi" w:cstheme="majorBidi"/>
      <w:color w:val="004F5B" w:themeColor="accent1" w:themeShade="7F"/>
    </w:rPr>
  </w:style>
  <w:style w:type="paragraph" w:styleId="Heading7">
    <w:name w:val="heading 7"/>
    <w:basedOn w:val="Normal"/>
    <w:next w:val="Normal"/>
    <w:link w:val="Heading7Char"/>
    <w:uiPriority w:val="9"/>
    <w:semiHidden/>
    <w:unhideWhenUsed/>
    <w:qFormat/>
    <w:rsid w:val="002554CD"/>
    <w:pPr>
      <w:keepNext/>
      <w:keepLines/>
      <w:spacing w:before="40" w:after="0"/>
      <w:outlineLvl w:val="6"/>
    </w:pPr>
    <w:rPr>
      <w:rFonts w:asciiTheme="majorHAnsi" w:eastAsiaTheme="majorEastAsia" w:hAnsiTheme="majorHAnsi" w:cstheme="majorBidi"/>
      <w:i/>
      <w:iCs/>
      <w:color w:val="004F5B" w:themeColor="accent1" w:themeShade="7F"/>
    </w:rPr>
  </w:style>
  <w:style w:type="paragraph" w:styleId="Heading8">
    <w:name w:val="heading 8"/>
    <w:basedOn w:val="Normal"/>
    <w:next w:val="Normal"/>
    <w:link w:val="Heading8Char"/>
    <w:uiPriority w:val="9"/>
    <w:semiHidden/>
    <w:unhideWhenUsed/>
    <w:qFormat/>
    <w:rsid w:val="002554CD"/>
    <w:pPr>
      <w:keepNext/>
      <w:keepLines/>
      <w:spacing w:before="40" w:after="0"/>
      <w:outlineLvl w:val="7"/>
    </w:pPr>
    <w:rPr>
      <w:rFonts w:asciiTheme="majorHAnsi" w:eastAsiaTheme="majorEastAsia" w:hAnsiTheme="majorHAnsi" w:cstheme="majorBidi"/>
      <w:color w:val="272727" w:themeColor="text1" w:themeTint="D8"/>
      <w:szCs w:val="21"/>
    </w:rPr>
  </w:style>
  <w:style w:type="paragraph" w:styleId="Heading9">
    <w:name w:val="heading 9"/>
    <w:basedOn w:val="Normal"/>
    <w:next w:val="Normal"/>
    <w:link w:val="Heading9Char"/>
    <w:uiPriority w:val="9"/>
    <w:semiHidden/>
    <w:unhideWhenUsed/>
    <w:qFormat/>
    <w:rsid w:val="002554CD"/>
    <w:pPr>
      <w:keepNext/>
      <w:keepLines/>
      <w:spacing w:before="40" w:after="0"/>
      <w:outlineLvl w:val="8"/>
    </w:pPr>
    <w:rPr>
      <w:rFonts w:asciiTheme="majorHAnsi" w:eastAsiaTheme="majorEastAsia" w:hAnsiTheme="majorHAnsi" w:cstheme="majorBidi"/>
      <w:i/>
      <w:iCs/>
      <w:color w:val="272727" w:themeColor="text1" w:themeTint="D8"/>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33D0D"/>
    <w:rPr>
      <w:rFonts w:asciiTheme="majorHAnsi" w:eastAsiaTheme="majorEastAsia" w:hAnsiTheme="majorHAnsi" w:cstheme="majorBidi"/>
      <w:color w:val="007789" w:themeColor="accent1" w:themeShade="BF"/>
      <w:sz w:val="32"/>
    </w:rPr>
  </w:style>
  <w:style w:type="character" w:customStyle="1" w:styleId="Heading2Char">
    <w:name w:val="Heading 2 Char"/>
    <w:basedOn w:val="DefaultParagraphFont"/>
    <w:link w:val="Heading2"/>
    <w:uiPriority w:val="9"/>
    <w:rsid w:val="00333D0D"/>
    <w:rPr>
      <w:rFonts w:asciiTheme="majorHAnsi" w:eastAsiaTheme="majorEastAsia" w:hAnsiTheme="majorHAnsi" w:cstheme="majorBidi"/>
      <w:caps/>
      <w:color w:val="007789" w:themeColor="accent1" w:themeShade="BF"/>
      <w:sz w:val="24"/>
    </w:rPr>
  </w:style>
  <w:style w:type="paragraph" w:customStyle="1" w:styleId="ContactInfo">
    <w:name w:val="Contact Info"/>
    <w:basedOn w:val="Normal"/>
    <w:uiPriority w:val="4"/>
    <w:qFormat/>
    <w:rsid w:val="00C6554A"/>
    <w:pPr>
      <w:spacing w:before="0" w:after="0"/>
      <w:jc w:val="center"/>
    </w:pPr>
  </w:style>
  <w:style w:type="paragraph" w:styleId="ListBullet">
    <w:name w:val="List Bullet"/>
    <w:basedOn w:val="Normal"/>
    <w:uiPriority w:val="10"/>
    <w:unhideWhenUsed/>
    <w:qFormat/>
    <w:rsid w:val="00C6554A"/>
    <w:pPr>
      <w:numPr>
        <w:numId w:val="4"/>
      </w:numPr>
    </w:pPr>
  </w:style>
  <w:style w:type="paragraph" w:styleId="Title">
    <w:name w:val="Title"/>
    <w:basedOn w:val="Normal"/>
    <w:link w:val="TitleChar"/>
    <w:uiPriority w:val="2"/>
    <w:unhideWhenUsed/>
    <w:qFormat/>
    <w:rsid w:val="00333D0D"/>
    <w:pPr>
      <w:spacing w:before="480" w:after="40" w:line="240" w:lineRule="auto"/>
      <w:contextualSpacing/>
      <w:jc w:val="center"/>
    </w:pPr>
    <w:rPr>
      <w:rFonts w:asciiTheme="majorHAnsi" w:eastAsiaTheme="majorEastAsia" w:hAnsiTheme="majorHAnsi" w:cstheme="majorBidi"/>
      <w:color w:val="007789" w:themeColor="accent1" w:themeShade="BF"/>
      <w:kern w:val="28"/>
      <w:sz w:val="60"/>
    </w:rPr>
  </w:style>
  <w:style w:type="character" w:customStyle="1" w:styleId="TitleChar">
    <w:name w:val="Title Char"/>
    <w:basedOn w:val="DefaultParagraphFont"/>
    <w:link w:val="Title"/>
    <w:uiPriority w:val="2"/>
    <w:rsid w:val="00333D0D"/>
    <w:rPr>
      <w:rFonts w:asciiTheme="majorHAnsi" w:eastAsiaTheme="majorEastAsia" w:hAnsiTheme="majorHAnsi" w:cstheme="majorBidi"/>
      <w:color w:val="007789" w:themeColor="accent1" w:themeShade="BF"/>
      <w:kern w:val="28"/>
      <w:sz w:val="60"/>
    </w:rPr>
  </w:style>
  <w:style w:type="paragraph" w:styleId="Subtitle">
    <w:name w:val="Subtitle"/>
    <w:basedOn w:val="Normal"/>
    <w:link w:val="SubtitleChar"/>
    <w:uiPriority w:val="3"/>
    <w:unhideWhenUsed/>
    <w:qFormat/>
    <w:rsid w:val="00333D0D"/>
    <w:pPr>
      <w:numPr>
        <w:ilvl w:val="1"/>
      </w:numPr>
      <w:spacing w:before="0" w:after="480"/>
      <w:contextualSpacing/>
      <w:jc w:val="center"/>
    </w:pPr>
    <w:rPr>
      <w:rFonts w:asciiTheme="majorHAnsi" w:eastAsiaTheme="majorEastAsia" w:hAnsiTheme="majorHAnsi" w:cstheme="majorBidi"/>
      <w:caps/>
      <w:sz w:val="26"/>
    </w:rPr>
  </w:style>
  <w:style w:type="character" w:customStyle="1" w:styleId="SubtitleChar">
    <w:name w:val="Subtitle Char"/>
    <w:basedOn w:val="DefaultParagraphFont"/>
    <w:link w:val="Subtitle"/>
    <w:uiPriority w:val="3"/>
    <w:rsid w:val="00333D0D"/>
    <w:rPr>
      <w:rFonts w:asciiTheme="majorHAnsi" w:eastAsiaTheme="majorEastAsia" w:hAnsiTheme="majorHAnsi" w:cstheme="majorBidi"/>
      <w:caps/>
      <w:sz w:val="26"/>
    </w:rPr>
  </w:style>
  <w:style w:type="paragraph" w:styleId="Footer">
    <w:name w:val="footer"/>
    <w:basedOn w:val="Normal"/>
    <w:link w:val="FooterChar"/>
    <w:uiPriority w:val="99"/>
    <w:unhideWhenUsed/>
    <w:rsid w:val="00C6554A"/>
    <w:pPr>
      <w:spacing w:before="0" w:after="0" w:line="240" w:lineRule="auto"/>
      <w:jc w:val="right"/>
    </w:pPr>
    <w:rPr>
      <w:caps/>
    </w:rPr>
  </w:style>
  <w:style w:type="character" w:customStyle="1" w:styleId="FooterChar">
    <w:name w:val="Footer Char"/>
    <w:basedOn w:val="DefaultParagraphFont"/>
    <w:link w:val="Footer"/>
    <w:uiPriority w:val="99"/>
    <w:rsid w:val="00C6554A"/>
    <w:rPr>
      <w:caps/>
    </w:rPr>
  </w:style>
  <w:style w:type="paragraph" w:customStyle="1" w:styleId="Photo">
    <w:name w:val="Photo"/>
    <w:basedOn w:val="Normal"/>
    <w:uiPriority w:val="1"/>
    <w:qFormat/>
    <w:rsid w:val="00C6554A"/>
    <w:pPr>
      <w:spacing w:before="0" w:after="0" w:line="240" w:lineRule="auto"/>
      <w:jc w:val="center"/>
    </w:pPr>
  </w:style>
  <w:style w:type="paragraph" w:styleId="Header">
    <w:name w:val="header"/>
    <w:basedOn w:val="Normal"/>
    <w:link w:val="HeaderChar"/>
    <w:uiPriority w:val="99"/>
    <w:unhideWhenUsed/>
    <w:rsid w:val="00C6554A"/>
    <w:pPr>
      <w:spacing w:before="0" w:after="0" w:line="240" w:lineRule="auto"/>
    </w:pPr>
  </w:style>
  <w:style w:type="character" w:customStyle="1" w:styleId="HeaderChar">
    <w:name w:val="Header Char"/>
    <w:basedOn w:val="DefaultParagraphFont"/>
    <w:link w:val="Header"/>
    <w:uiPriority w:val="99"/>
    <w:rsid w:val="00C6554A"/>
    <w:rPr>
      <w:color w:val="595959" w:themeColor="text1" w:themeTint="A6"/>
      <w:sz w:val="20"/>
      <w:szCs w:val="20"/>
      <w:lang w:eastAsia="ja-JP"/>
    </w:rPr>
  </w:style>
  <w:style w:type="paragraph" w:styleId="ListNumber">
    <w:name w:val="List Number"/>
    <w:basedOn w:val="Normal"/>
    <w:uiPriority w:val="11"/>
    <w:unhideWhenUsed/>
    <w:qFormat/>
    <w:rsid w:val="00C6554A"/>
    <w:pPr>
      <w:numPr>
        <w:numId w:val="3"/>
      </w:numPr>
      <w:contextualSpacing/>
    </w:pPr>
  </w:style>
  <w:style w:type="character" w:customStyle="1" w:styleId="Heading3Char">
    <w:name w:val="Heading 3 Char"/>
    <w:basedOn w:val="DefaultParagraphFont"/>
    <w:link w:val="Heading3"/>
    <w:uiPriority w:val="9"/>
    <w:rsid w:val="00C6554A"/>
    <w:rPr>
      <w:rFonts w:asciiTheme="majorHAnsi" w:eastAsiaTheme="majorEastAsia" w:hAnsiTheme="majorHAnsi" w:cstheme="majorBidi"/>
      <w:color w:val="004F5B" w:themeColor="accent1" w:themeShade="7F"/>
      <w:sz w:val="24"/>
      <w:szCs w:val="24"/>
    </w:rPr>
  </w:style>
  <w:style w:type="character" w:customStyle="1" w:styleId="Heading8Char">
    <w:name w:val="Heading 8 Char"/>
    <w:basedOn w:val="DefaultParagraphFont"/>
    <w:link w:val="Heading8"/>
    <w:uiPriority w:val="9"/>
    <w:semiHidden/>
    <w:rsid w:val="00C6554A"/>
    <w:rPr>
      <w:rFonts w:asciiTheme="majorHAnsi" w:eastAsiaTheme="majorEastAsia" w:hAnsiTheme="majorHAnsi" w:cstheme="majorBidi"/>
      <w:color w:val="272727" w:themeColor="text1" w:themeTint="D8"/>
      <w:szCs w:val="21"/>
    </w:rPr>
  </w:style>
  <w:style w:type="character" w:customStyle="1" w:styleId="Heading9Char">
    <w:name w:val="Heading 9 Char"/>
    <w:basedOn w:val="DefaultParagraphFont"/>
    <w:link w:val="Heading9"/>
    <w:uiPriority w:val="9"/>
    <w:semiHidden/>
    <w:rsid w:val="00C6554A"/>
    <w:rPr>
      <w:rFonts w:asciiTheme="majorHAnsi" w:eastAsiaTheme="majorEastAsia" w:hAnsiTheme="majorHAnsi" w:cstheme="majorBidi"/>
      <w:i/>
      <w:iCs/>
      <w:color w:val="272727" w:themeColor="text1" w:themeTint="D8"/>
      <w:szCs w:val="21"/>
    </w:rPr>
  </w:style>
  <w:style w:type="character" w:styleId="IntenseEmphasis">
    <w:name w:val="Intense Emphasis"/>
    <w:basedOn w:val="DefaultParagraphFont"/>
    <w:uiPriority w:val="21"/>
    <w:semiHidden/>
    <w:unhideWhenUsed/>
    <w:qFormat/>
    <w:rsid w:val="00C6554A"/>
    <w:rPr>
      <w:i/>
      <w:iCs/>
      <w:color w:val="007789" w:themeColor="accent1" w:themeShade="BF"/>
    </w:rPr>
  </w:style>
  <w:style w:type="paragraph" w:styleId="IntenseQuote">
    <w:name w:val="Intense Quote"/>
    <w:basedOn w:val="Normal"/>
    <w:next w:val="Normal"/>
    <w:link w:val="IntenseQuoteChar"/>
    <w:uiPriority w:val="30"/>
    <w:semiHidden/>
    <w:unhideWhenUsed/>
    <w:qFormat/>
    <w:rsid w:val="00C6554A"/>
    <w:pPr>
      <w:pBdr>
        <w:top w:val="single" w:sz="4" w:space="10" w:color="007789" w:themeColor="accent1" w:themeShade="BF"/>
        <w:bottom w:val="single" w:sz="4" w:space="10" w:color="007789" w:themeColor="accent1" w:themeShade="BF"/>
      </w:pBdr>
      <w:spacing w:before="360" w:after="360"/>
      <w:ind w:left="864" w:right="864"/>
      <w:jc w:val="center"/>
    </w:pPr>
    <w:rPr>
      <w:i/>
      <w:iCs/>
      <w:color w:val="007789" w:themeColor="accent1" w:themeShade="BF"/>
    </w:rPr>
  </w:style>
  <w:style w:type="character" w:customStyle="1" w:styleId="IntenseQuoteChar">
    <w:name w:val="Intense Quote Char"/>
    <w:basedOn w:val="DefaultParagraphFont"/>
    <w:link w:val="IntenseQuote"/>
    <w:uiPriority w:val="30"/>
    <w:semiHidden/>
    <w:rsid w:val="00C6554A"/>
    <w:rPr>
      <w:i/>
      <w:iCs/>
      <w:color w:val="007789" w:themeColor="accent1" w:themeShade="BF"/>
    </w:rPr>
  </w:style>
  <w:style w:type="character" w:styleId="IntenseReference">
    <w:name w:val="Intense Reference"/>
    <w:basedOn w:val="DefaultParagraphFont"/>
    <w:uiPriority w:val="32"/>
    <w:semiHidden/>
    <w:unhideWhenUsed/>
    <w:qFormat/>
    <w:rsid w:val="00C6554A"/>
    <w:rPr>
      <w:b/>
      <w:bCs/>
      <w:caps w:val="0"/>
      <w:smallCaps/>
      <w:color w:val="007789" w:themeColor="accent1" w:themeShade="BF"/>
      <w:spacing w:val="5"/>
    </w:rPr>
  </w:style>
  <w:style w:type="paragraph" w:styleId="Caption">
    <w:name w:val="caption"/>
    <w:basedOn w:val="Normal"/>
    <w:next w:val="Normal"/>
    <w:uiPriority w:val="35"/>
    <w:semiHidden/>
    <w:unhideWhenUsed/>
    <w:qFormat/>
    <w:rsid w:val="00C6554A"/>
    <w:pPr>
      <w:spacing w:before="0" w:line="240" w:lineRule="auto"/>
    </w:pPr>
    <w:rPr>
      <w:i/>
      <w:iCs/>
      <w:color w:val="4E5B6F" w:themeColor="text2"/>
      <w:szCs w:val="18"/>
    </w:rPr>
  </w:style>
  <w:style w:type="paragraph" w:styleId="BalloonText">
    <w:name w:val="Balloon Text"/>
    <w:basedOn w:val="Normal"/>
    <w:link w:val="BalloonTextChar"/>
    <w:uiPriority w:val="99"/>
    <w:semiHidden/>
    <w:unhideWhenUsed/>
    <w:rsid w:val="00C6554A"/>
    <w:pPr>
      <w:spacing w:before="0" w:after="0" w:line="240" w:lineRule="auto"/>
    </w:pPr>
    <w:rPr>
      <w:rFonts w:ascii="Segoe UI" w:hAnsi="Segoe UI" w:cs="Segoe UI"/>
      <w:szCs w:val="18"/>
    </w:rPr>
  </w:style>
  <w:style w:type="character" w:customStyle="1" w:styleId="BalloonTextChar">
    <w:name w:val="Balloon Text Char"/>
    <w:basedOn w:val="DefaultParagraphFont"/>
    <w:link w:val="BalloonText"/>
    <w:uiPriority w:val="99"/>
    <w:semiHidden/>
    <w:rsid w:val="00C6554A"/>
    <w:rPr>
      <w:rFonts w:ascii="Segoe UI" w:hAnsi="Segoe UI" w:cs="Segoe UI"/>
      <w:szCs w:val="18"/>
    </w:rPr>
  </w:style>
  <w:style w:type="paragraph" w:styleId="BlockText">
    <w:name w:val="Block Text"/>
    <w:basedOn w:val="Normal"/>
    <w:uiPriority w:val="99"/>
    <w:semiHidden/>
    <w:unhideWhenUsed/>
    <w:rsid w:val="00C6554A"/>
    <w:pPr>
      <w:pBdr>
        <w:top w:val="single" w:sz="2" w:space="10" w:color="007789" w:themeColor="accent1" w:themeShade="BF"/>
        <w:left w:val="single" w:sz="2" w:space="10" w:color="007789" w:themeColor="accent1" w:themeShade="BF"/>
        <w:bottom w:val="single" w:sz="2" w:space="10" w:color="007789" w:themeColor="accent1" w:themeShade="BF"/>
        <w:right w:val="single" w:sz="2" w:space="10" w:color="007789" w:themeColor="accent1" w:themeShade="BF"/>
      </w:pBdr>
      <w:ind w:left="1152" w:right="1152"/>
    </w:pPr>
    <w:rPr>
      <w:rFonts w:eastAsiaTheme="minorEastAsia"/>
      <w:i/>
      <w:iCs/>
      <w:color w:val="007789" w:themeColor="accent1" w:themeShade="BF"/>
    </w:rPr>
  </w:style>
  <w:style w:type="paragraph" w:styleId="BodyText3">
    <w:name w:val="Body Text 3"/>
    <w:basedOn w:val="Normal"/>
    <w:link w:val="BodyText3Char"/>
    <w:uiPriority w:val="99"/>
    <w:semiHidden/>
    <w:unhideWhenUsed/>
    <w:rsid w:val="00C6554A"/>
    <w:pPr>
      <w:spacing w:after="120"/>
    </w:pPr>
    <w:rPr>
      <w:szCs w:val="16"/>
    </w:rPr>
  </w:style>
  <w:style w:type="character" w:customStyle="1" w:styleId="BodyText3Char">
    <w:name w:val="Body Text 3 Char"/>
    <w:basedOn w:val="DefaultParagraphFont"/>
    <w:link w:val="BodyText3"/>
    <w:uiPriority w:val="99"/>
    <w:semiHidden/>
    <w:rsid w:val="00C6554A"/>
    <w:rPr>
      <w:szCs w:val="16"/>
    </w:rPr>
  </w:style>
  <w:style w:type="paragraph" w:styleId="BodyTextIndent3">
    <w:name w:val="Body Text Indent 3"/>
    <w:basedOn w:val="Normal"/>
    <w:link w:val="BodyTextIndent3Char"/>
    <w:uiPriority w:val="99"/>
    <w:semiHidden/>
    <w:unhideWhenUsed/>
    <w:rsid w:val="00C6554A"/>
    <w:pPr>
      <w:spacing w:after="120"/>
      <w:ind w:left="360"/>
    </w:pPr>
    <w:rPr>
      <w:szCs w:val="16"/>
    </w:rPr>
  </w:style>
  <w:style w:type="character" w:customStyle="1" w:styleId="BodyTextIndent3Char">
    <w:name w:val="Body Text Indent 3 Char"/>
    <w:basedOn w:val="DefaultParagraphFont"/>
    <w:link w:val="BodyTextIndent3"/>
    <w:uiPriority w:val="99"/>
    <w:semiHidden/>
    <w:rsid w:val="00C6554A"/>
    <w:rPr>
      <w:szCs w:val="16"/>
    </w:rPr>
  </w:style>
  <w:style w:type="character" w:styleId="CommentReference">
    <w:name w:val="annotation reference"/>
    <w:basedOn w:val="DefaultParagraphFont"/>
    <w:uiPriority w:val="99"/>
    <w:semiHidden/>
    <w:unhideWhenUsed/>
    <w:rsid w:val="00C6554A"/>
    <w:rPr>
      <w:sz w:val="22"/>
      <w:szCs w:val="16"/>
    </w:rPr>
  </w:style>
  <w:style w:type="paragraph" w:styleId="CommentText">
    <w:name w:val="annotation text"/>
    <w:basedOn w:val="Normal"/>
    <w:link w:val="CommentTextChar"/>
    <w:uiPriority w:val="99"/>
    <w:semiHidden/>
    <w:unhideWhenUsed/>
    <w:rsid w:val="00C6554A"/>
    <w:pPr>
      <w:spacing w:line="240" w:lineRule="auto"/>
    </w:pPr>
    <w:rPr>
      <w:szCs w:val="20"/>
    </w:rPr>
  </w:style>
  <w:style w:type="character" w:customStyle="1" w:styleId="CommentTextChar">
    <w:name w:val="Comment Text Char"/>
    <w:basedOn w:val="DefaultParagraphFont"/>
    <w:link w:val="CommentText"/>
    <w:uiPriority w:val="99"/>
    <w:semiHidden/>
    <w:rsid w:val="00C6554A"/>
    <w:rPr>
      <w:szCs w:val="20"/>
    </w:rPr>
  </w:style>
  <w:style w:type="paragraph" w:styleId="CommentSubject">
    <w:name w:val="annotation subject"/>
    <w:basedOn w:val="CommentText"/>
    <w:next w:val="CommentText"/>
    <w:link w:val="CommentSubjectChar"/>
    <w:uiPriority w:val="99"/>
    <w:semiHidden/>
    <w:unhideWhenUsed/>
    <w:rsid w:val="00C6554A"/>
    <w:rPr>
      <w:b/>
      <w:bCs/>
    </w:rPr>
  </w:style>
  <w:style w:type="character" w:customStyle="1" w:styleId="CommentSubjectChar">
    <w:name w:val="Comment Subject Char"/>
    <w:basedOn w:val="CommentTextChar"/>
    <w:link w:val="CommentSubject"/>
    <w:uiPriority w:val="99"/>
    <w:semiHidden/>
    <w:rsid w:val="00C6554A"/>
    <w:rPr>
      <w:b/>
      <w:bCs/>
      <w:szCs w:val="20"/>
    </w:rPr>
  </w:style>
  <w:style w:type="paragraph" w:styleId="DocumentMap">
    <w:name w:val="Document Map"/>
    <w:basedOn w:val="Normal"/>
    <w:link w:val="DocumentMapChar"/>
    <w:uiPriority w:val="99"/>
    <w:semiHidden/>
    <w:unhideWhenUsed/>
    <w:rsid w:val="00C6554A"/>
    <w:pPr>
      <w:spacing w:before="0" w:after="0" w:line="240" w:lineRule="auto"/>
    </w:pPr>
    <w:rPr>
      <w:rFonts w:ascii="Segoe UI" w:hAnsi="Segoe UI" w:cs="Segoe UI"/>
      <w:szCs w:val="16"/>
    </w:rPr>
  </w:style>
  <w:style w:type="character" w:customStyle="1" w:styleId="DocumentMapChar">
    <w:name w:val="Document Map Char"/>
    <w:basedOn w:val="DefaultParagraphFont"/>
    <w:link w:val="DocumentMap"/>
    <w:uiPriority w:val="99"/>
    <w:semiHidden/>
    <w:rsid w:val="00C6554A"/>
    <w:rPr>
      <w:rFonts w:ascii="Segoe UI" w:hAnsi="Segoe UI" w:cs="Segoe UI"/>
      <w:szCs w:val="16"/>
    </w:rPr>
  </w:style>
  <w:style w:type="paragraph" w:styleId="EndnoteText">
    <w:name w:val="endnote text"/>
    <w:basedOn w:val="Normal"/>
    <w:link w:val="EndnoteTextChar"/>
    <w:uiPriority w:val="99"/>
    <w:semiHidden/>
    <w:unhideWhenUsed/>
    <w:rsid w:val="00C6554A"/>
    <w:pPr>
      <w:spacing w:before="0" w:after="0" w:line="240" w:lineRule="auto"/>
    </w:pPr>
    <w:rPr>
      <w:szCs w:val="20"/>
    </w:rPr>
  </w:style>
  <w:style w:type="character" w:customStyle="1" w:styleId="EndnoteTextChar">
    <w:name w:val="Endnote Text Char"/>
    <w:basedOn w:val="DefaultParagraphFont"/>
    <w:link w:val="EndnoteText"/>
    <w:uiPriority w:val="99"/>
    <w:semiHidden/>
    <w:rsid w:val="00C6554A"/>
    <w:rPr>
      <w:szCs w:val="20"/>
    </w:rPr>
  </w:style>
  <w:style w:type="paragraph" w:styleId="EnvelopeReturn">
    <w:name w:val="envelope return"/>
    <w:basedOn w:val="Normal"/>
    <w:uiPriority w:val="99"/>
    <w:semiHidden/>
    <w:unhideWhenUsed/>
    <w:rsid w:val="00C6554A"/>
    <w:pPr>
      <w:spacing w:before="0" w:after="0" w:line="240" w:lineRule="auto"/>
    </w:pPr>
    <w:rPr>
      <w:rFonts w:asciiTheme="majorHAnsi" w:eastAsiaTheme="majorEastAsia" w:hAnsiTheme="majorHAnsi" w:cstheme="majorBidi"/>
      <w:szCs w:val="20"/>
    </w:rPr>
  </w:style>
  <w:style w:type="character" w:styleId="FollowedHyperlink">
    <w:name w:val="FollowedHyperlink"/>
    <w:basedOn w:val="DefaultParagraphFont"/>
    <w:uiPriority w:val="99"/>
    <w:semiHidden/>
    <w:unhideWhenUsed/>
    <w:rsid w:val="00C6554A"/>
    <w:rPr>
      <w:color w:val="007789" w:themeColor="accent1" w:themeShade="BF"/>
      <w:u w:val="single"/>
    </w:rPr>
  </w:style>
  <w:style w:type="paragraph" w:styleId="FootnoteText">
    <w:name w:val="footnote text"/>
    <w:basedOn w:val="Normal"/>
    <w:link w:val="FootnoteTextChar"/>
    <w:uiPriority w:val="99"/>
    <w:semiHidden/>
    <w:unhideWhenUsed/>
    <w:rsid w:val="00C6554A"/>
    <w:pPr>
      <w:spacing w:before="0" w:after="0" w:line="240" w:lineRule="auto"/>
    </w:pPr>
    <w:rPr>
      <w:szCs w:val="20"/>
    </w:rPr>
  </w:style>
  <w:style w:type="character" w:customStyle="1" w:styleId="FootnoteTextChar">
    <w:name w:val="Footnote Text Char"/>
    <w:basedOn w:val="DefaultParagraphFont"/>
    <w:link w:val="FootnoteText"/>
    <w:uiPriority w:val="99"/>
    <w:semiHidden/>
    <w:rsid w:val="00C6554A"/>
    <w:rPr>
      <w:szCs w:val="20"/>
    </w:rPr>
  </w:style>
  <w:style w:type="character" w:styleId="HTMLCode">
    <w:name w:val="HTML Code"/>
    <w:basedOn w:val="DefaultParagraphFont"/>
    <w:uiPriority w:val="99"/>
    <w:semiHidden/>
    <w:unhideWhenUsed/>
    <w:rsid w:val="00C6554A"/>
    <w:rPr>
      <w:rFonts w:ascii="Consolas" w:hAnsi="Consolas"/>
      <w:sz w:val="22"/>
      <w:szCs w:val="20"/>
    </w:rPr>
  </w:style>
  <w:style w:type="character" w:styleId="HTMLKeyboard">
    <w:name w:val="HTML Keyboard"/>
    <w:basedOn w:val="DefaultParagraphFont"/>
    <w:uiPriority w:val="99"/>
    <w:semiHidden/>
    <w:unhideWhenUsed/>
    <w:rsid w:val="00C6554A"/>
    <w:rPr>
      <w:rFonts w:ascii="Consolas" w:hAnsi="Consolas"/>
      <w:sz w:val="22"/>
      <w:szCs w:val="20"/>
    </w:rPr>
  </w:style>
  <w:style w:type="paragraph" w:styleId="HTMLPreformatted">
    <w:name w:val="HTML Preformatted"/>
    <w:basedOn w:val="Normal"/>
    <w:link w:val="HTMLPreformattedChar"/>
    <w:uiPriority w:val="99"/>
    <w:semiHidden/>
    <w:unhideWhenUsed/>
    <w:rsid w:val="00C6554A"/>
    <w:pPr>
      <w:spacing w:before="0" w:after="0" w:line="240" w:lineRule="auto"/>
    </w:pPr>
    <w:rPr>
      <w:rFonts w:ascii="Consolas" w:hAnsi="Consolas"/>
      <w:szCs w:val="20"/>
    </w:rPr>
  </w:style>
  <w:style w:type="character" w:customStyle="1" w:styleId="HTMLPreformattedChar">
    <w:name w:val="HTML Preformatted Char"/>
    <w:basedOn w:val="DefaultParagraphFont"/>
    <w:link w:val="HTMLPreformatted"/>
    <w:uiPriority w:val="99"/>
    <w:semiHidden/>
    <w:rsid w:val="00C6554A"/>
    <w:rPr>
      <w:rFonts w:ascii="Consolas" w:hAnsi="Consolas"/>
      <w:szCs w:val="20"/>
    </w:rPr>
  </w:style>
  <w:style w:type="character" w:styleId="HTMLTypewriter">
    <w:name w:val="HTML Typewriter"/>
    <w:basedOn w:val="DefaultParagraphFont"/>
    <w:uiPriority w:val="99"/>
    <w:semiHidden/>
    <w:unhideWhenUsed/>
    <w:rsid w:val="00C6554A"/>
    <w:rPr>
      <w:rFonts w:ascii="Consolas" w:hAnsi="Consolas"/>
      <w:sz w:val="22"/>
      <w:szCs w:val="20"/>
    </w:rPr>
  </w:style>
  <w:style w:type="character" w:styleId="Hyperlink">
    <w:name w:val="Hyperlink"/>
    <w:basedOn w:val="DefaultParagraphFont"/>
    <w:uiPriority w:val="99"/>
    <w:unhideWhenUsed/>
    <w:rsid w:val="00C6554A"/>
    <w:rPr>
      <w:color w:val="835D00" w:themeColor="accent3" w:themeShade="80"/>
      <w:u w:val="single"/>
    </w:rPr>
  </w:style>
  <w:style w:type="paragraph" w:styleId="MacroText">
    <w:name w:val="macro"/>
    <w:link w:val="MacroTextChar"/>
    <w:uiPriority w:val="99"/>
    <w:semiHidden/>
    <w:unhideWhenUsed/>
    <w:rsid w:val="00C6554A"/>
    <w:pPr>
      <w:tabs>
        <w:tab w:val="left" w:pos="480"/>
        <w:tab w:val="left" w:pos="960"/>
        <w:tab w:val="left" w:pos="1440"/>
        <w:tab w:val="left" w:pos="1920"/>
        <w:tab w:val="left" w:pos="2400"/>
        <w:tab w:val="left" w:pos="2880"/>
        <w:tab w:val="left" w:pos="3360"/>
        <w:tab w:val="left" w:pos="3840"/>
        <w:tab w:val="left" w:pos="4320"/>
      </w:tabs>
      <w:spacing w:after="0"/>
    </w:pPr>
    <w:rPr>
      <w:rFonts w:ascii="Consolas" w:hAnsi="Consolas"/>
      <w:szCs w:val="20"/>
    </w:rPr>
  </w:style>
  <w:style w:type="character" w:customStyle="1" w:styleId="MacroTextChar">
    <w:name w:val="Macro Text Char"/>
    <w:basedOn w:val="DefaultParagraphFont"/>
    <w:link w:val="MacroText"/>
    <w:uiPriority w:val="99"/>
    <w:semiHidden/>
    <w:rsid w:val="00C6554A"/>
    <w:rPr>
      <w:rFonts w:ascii="Consolas" w:hAnsi="Consolas"/>
      <w:szCs w:val="20"/>
    </w:rPr>
  </w:style>
  <w:style w:type="character" w:styleId="PlaceholderText">
    <w:name w:val="Placeholder Text"/>
    <w:basedOn w:val="DefaultParagraphFont"/>
    <w:uiPriority w:val="99"/>
    <w:semiHidden/>
    <w:rsid w:val="00C6554A"/>
    <w:rPr>
      <w:color w:val="595959" w:themeColor="text1" w:themeTint="A6"/>
    </w:rPr>
  </w:style>
  <w:style w:type="paragraph" w:styleId="PlainText">
    <w:name w:val="Plain Text"/>
    <w:basedOn w:val="Normal"/>
    <w:link w:val="PlainTextChar"/>
    <w:uiPriority w:val="99"/>
    <w:semiHidden/>
    <w:unhideWhenUsed/>
    <w:rsid w:val="00C6554A"/>
    <w:pPr>
      <w:spacing w:before="0" w:after="0" w:line="240" w:lineRule="auto"/>
    </w:pPr>
    <w:rPr>
      <w:rFonts w:ascii="Consolas" w:hAnsi="Consolas"/>
      <w:szCs w:val="21"/>
    </w:rPr>
  </w:style>
  <w:style w:type="character" w:customStyle="1" w:styleId="PlainTextChar">
    <w:name w:val="Plain Text Char"/>
    <w:basedOn w:val="DefaultParagraphFont"/>
    <w:link w:val="PlainText"/>
    <w:uiPriority w:val="99"/>
    <w:semiHidden/>
    <w:rsid w:val="00C6554A"/>
    <w:rPr>
      <w:rFonts w:ascii="Consolas" w:hAnsi="Consolas"/>
      <w:szCs w:val="21"/>
    </w:rPr>
  </w:style>
  <w:style w:type="character" w:customStyle="1" w:styleId="Heading7Char">
    <w:name w:val="Heading 7 Char"/>
    <w:basedOn w:val="DefaultParagraphFont"/>
    <w:link w:val="Heading7"/>
    <w:uiPriority w:val="9"/>
    <w:semiHidden/>
    <w:rsid w:val="002554CD"/>
    <w:rPr>
      <w:rFonts w:asciiTheme="majorHAnsi" w:eastAsiaTheme="majorEastAsia" w:hAnsiTheme="majorHAnsi" w:cstheme="majorBidi"/>
      <w:i/>
      <w:iCs/>
      <w:color w:val="004F5B" w:themeColor="accent1" w:themeShade="7F"/>
    </w:rPr>
  </w:style>
  <w:style w:type="character" w:customStyle="1" w:styleId="Heading6Char">
    <w:name w:val="Heading 6 Char"/>
    <w:basedOn w:val="DefaultParagraphFont"/>
    <w:link w:val="Heading6"/>
    <w:uiPriority w:val="9"/>
    <w:semiHidden/>
    <w:rsid w:val="002554CD"/>
    <w:rPr>
      <w:rFonts w:asciiTheme="majorHAnsi" w:eastAsiaTheme="majorEastAsia" w:hAnsiTheme="majorHAnsi" w:cstheme="majorBidi"/>
      <w:color w:val="004F5B" w:themeColor="accent1" w:themeShade="7F"/>
    </w:rPr>
  </w:style>
  <w:style w:type="character" w:styleId="UnresolvedMention">
    <w:name w:val="Unresolved Mention"/>
    <w:basedOn w:val="DefaultParagraphFont"/>
    <w:uiPriority w:val="99"/>
    <w:semiHidden/>
    <w:unhideWhenUsed/>
    <w:rsid w:val="00C252F0"/>
    <w:rPr>
      <w:color w:val="605E5C"/>
      <w:shd w:val="clear" w:color="auto" w:fill="E1DFDD"/>
    </w:rPr>
  </w:style>
  <w:style w:type="paragraph" w:styleId="ListParagraph">
    <w:name w:val="List Paragraph"/>
    <w:basedOn w:val="Normal"/>
    <w:uiPriority w:val="34"/>
    <w:unhideWhenUsed/>
    <w:qFormat/>
    <w:rsid w:val="00A20E88"/>
    <w:pPr>
      <w:ind w:left="720"/>
      <w:contextualSpacing/>
    </w:pPr>
  </w:style>
  <w:style w:type="character" w:customStyle="1" w:styleId="Heading4Char">
    <w:name w:val="Heading 4 Char"/>
    <w:basedOn w:val="DefaultParagraphFont"/>
    <w:link w:val="Heading4"/>
    <w:uiPriority w:val="9"/>
    <w:rsid w:val="0092358B"/>
    <w:rPr>
      <w:rFonts w:asciiTheme="majorHAnsi" w:eastAsiaTheme="majorEastAsia" w:hAnsiTheme="majorHAnsi" w:cstheme="majorBidi"/>
      <w:i/>
      <w:iCs/>
      <w:color w:val="007789" w:themeColor="accent1" w:themeShade="BF"/>
    </w:rPr>
  </w:style>
  <w:style w:type="table" w:styleId="TableGrid">
    <w:name w:val="Table Grid"/>
    <w:basedOn w:val="TableNormal"/>
    <w:uiPriority w:val="39"/>
    <w:rsid w:val="00954870"/>
    <w:pPr>
      <w:spacing w:before="0"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5Dark-Accent6">
    <w:name w:val="Grid Table 5 Dark Accent 6"/>
    <w:basedOn w:val="TableNormal"/>
    <w:uiPriority w:val="50"/>
    <w:rsid w:val="00954870"/>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9F7F1"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1AB39F"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1AB39F"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1AB39F"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1AB39F" w:themeFill="accent6"/>
      </w:tcPr>
    </w:tblStylePr>
    <w:tblStylePr w:type="band1Vert">
      <w:tblPr/>
      <w:tcPr>
        <w:shd w:val="clear" w:color="auto" w:fill="94EFE3" w:themeFill="accent6" w:themeFillTint="66"/>
      </w:tcPr>
    </w:tblStylePr>
    <w:tblStylePr w:type="band1Horz">
      <w:tblPr/>
      <w:tcPr>
        <w:shd w:val="clear" w:color="auto" w:fill="94EFE3" w:themeFill="accent6" w:themeFillTint="66"/>
      </w:tcPr>
    </w:tblStylePr>
  </w:style>
  <w:style w:type="character" w:customStyle="1" w:styleId="Heading5Char">
    <w:name w:val="Heading 5 Char"/>
    <w:basedOn w:val="DefaultParagraphFont"/>
    <w:link w:val="Heading5"/>
    <w:uiPriority w:val="9"/>
    <w:rsid w:val="004D73B2"/>
    <w:rPr>
      <w:rFonts w:asciiTheme="majorHAnsi" w:eastAsiaTheme="majorEastAsia" w:hAnsiTheme="majorHAnsi" w:cstheme="majorBidi"/>
      <w:color w:val="007789" w:themeColor="accent1" w:themeShade="BF"/>
    </w:rPr>
  </w:style>
  <w:style w:type="table" w:styleId="GridTable1Light">
    <w:name w:val="Grid Table 1 Light"/>
    <w:basedOn w:val="TableNormal"/>
    <w:uiPriority w:val="46"/>
    <w:rsid w:val="00A44E14"/>
    <w:pPr>
      <w:spacing w:before="0" w:after="0" w:line="240" w:lineRule="auto"/>
    </w:pPr>
    <w:rPr>
      <w:color w:val="auto"/>
      <w:lang w:val="en-NZ"/>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8624135">
      <w:bodyDiv w:val="1"/>
      <w:marLeft w:val="0"/>
      <w:marRight w:val="0"/>
      <w:marTop w:val="0"/>
      <w:marBottom w:val="0"/>
      <w:divBdr>
        <w:top w:val="none" w:sz="0" w:space="0" w:color="auto"/>
        <w:left w:val="none" w:sz="0" w:space="0" w:color="auto"/>
        <w:bottom w:val="none" w:sz="0" w:space="0" w:color="auto"/>
        <w:right w:val="none" w:sz="0" w:space="0" w:color="auto"/>
      </w:divBdr>
    </w:div>
    <w:div w:id="147131838">
      <w:bodyDiv w:val="1"/>
      <w:marLeft w:val="0"/>
      <w:marRight w:val="0"/>
      <w:marTop w:val="0"/>
      <w:marBottom w:val="0"/>
      <w:divBdr>
        <w:top w:val="none" w:sz="0" w:space="0" w:color="auto"/>
        <w:left w:val="none" w:sz="0" w:space="0" w:color="auto"/>
        <w:bottom w:val="none" w:sz="0" w:space="0" w:color="auto"/>
        <w:right w:val="none" w:sz="0" w:space="0" w:color="auto"/>
      </w:divBdr>
    </w:div>
    <w:div w:id="198057108">
      <w:bodyDiv w:val="1"/>
      <w:marLeft w:val="0"/>
      <w:marRight w:val="0"/>
      <w:marTop w:val="0"/>
      <w:marBottom w:val="0"/>
      <w:divBdr>
        <w:top w:val="none" w:sz="0" w:space="0" w:color="auto"/>
        <w:left w:val="none" w:sz="0" w:space="0" w:color="auto"/>
        <w:bottom w:val="none" w:sz="0" w:space="0" w:color="auto"/>
        <w:right w:val="none" w:sz="0" w:space="0" w:color="auto"/>
      </w:divBdr>
    </w:div>
    <w:div w:id="471750265">
      <w:bodyDiv w:val="1"/>
      <w:marLeft w:val="0"/>
      <w:marRight w:val="0"/>
      <w:marTop w:val="0"/>
      <w:marBottom w:val="0"/>
      <w:divBdr>
        <w:top w:val="none" w:sz="0" w:space="0" w:color="auto"/>
        <w:left w:val="none" w:sz="0" w:space="0" w:color="auto"/>
        <w:bottom w:val="none" w:sz="0" w:space="0" w:color="auto"/>
        <w:right w:val="none" w:sz="0" w:space="0" w:color="auto"/>
      </w:divBdr>
    </w:div>
    <w:div w:id="627128463">
      <w:bodyDiv w:val="1"/>
      <w:marLeft w:val="0"/>
      <w:marRight w:val="0"/>
      <w:marTop w:val="0"/>
      <w:marBottom w:val="0"/>
      <w:divBdr>
        <w:top w:val="none" w:sz="0" w:space="0" w:color="auto"/>
        <w:left w:val="none" w:sz="0" w:space="0" w:color="auto"/>
        <w:bottom w:val="none" w:sz="0" w:space="0" w:color="auto"/>
        <w:right w:val="none" w:sz="0" w:space="0" w:color="auto"/>
      </w:divBdr>
    </w:div>
    <w:div w:id="792017294">
      <w:bodyDiv w:val="1"/>
      <w:marLeft w:val="0"/>
      <w:marRight w:val="0"/>
      <w:marTop w:val="0"/>
      <w:marBottom w:val="0"/>
      <w:divBdr>
        <w:top w:val="none" w:sz="0" w:space="0" w:color="auto"/>
        <w:left w:val="none" w:sz="0" w:space="0" w:color="auto"/>
        <w:bottom w:val="none" w:sz="0" w:space="0" w:color="auto"/>
        <w:right w:val="none" w:sz="0" w:space="0" w:color="auto"/>
      </w:divBdr>
    </w:div>
    <w:div w:id="801920873">
      <w:bodyDiv w:val="1"/>
      <w:marLeft w:val="0"/>
      <w:marRight w:val="0"/>
      <w:marTop w:val="0"/>
      <w:marBottom w:val="0"/>
      <w:divBdr>
        <w:top w:val="none" w:sz="0" w:space="0" w:color="auto"/>
        <w:left w:val="none" w:sz="0" w:space="0" w:color="auto"/>
        <w:bottom w:val="none" w:sz="0" w:space="0" w:color="auto"/>
        <w:right w:val="none" w:sz="0" w:space="0" w:color="auto"/>
      </w:divBdr>
    </w:div>
    <w:div w:id="814879958">
      <w:bodyDiv w:val="1"/>
      <w:marLeft w:val="0"/>
      <w:marRight w:val="0"/>
      <w:marTop w:val="0"/>
      <w:marBottom w:val="0"/>
      <w:divBdr>
        <w:top w:val="none" w:sz="0" w:space="0" w:color="auto"/>
        <w:left w:val="none" w:sz="0" w:space="0" w:color="auto"/>
        <w:bottom w:val="none" w:sz="0" w:space="0" w:color="auto"/>
        <w:right w:val="none" w:sz="0" w:space="0" w:color="auto"/>
      </w:divBdr>
    </w:div>
    <w:div w:id="987365865">
      <w:bodyDiv w:val="1"/>
      <w:marLeft w:val="0"/>
      <w:marRight w:val="0"/>
      <w:marTop w:val="0"/>
      <w:marBottom w:val="0"/>
      <w:divBdr>
        <w:top w:val="none" w:sz="0" w:space="0" w:color="auto"/>
        <w:left w:val="none" w:sz="0" w:space="0" w:color="auto"/>
        <w:bottom w:val="none" w:sz="0" w:space="0" w:color="auto"/>
        <w:right w:val="none" w:sz="0" w:space="0" w:color="auto"/>
      </w:divBdr>
    </w:div>
    <w:div w:id="1017119314">
      <w:bodyDiv w:val="1"/>
      <w:marLeft w:val="0"/>
      <w:marRight w:val="0"/>
      <w:marTop w:val="0"/>
      <w:marBottom w:val="0"/>
      <w:divBdr>
        <w:top w:val="none" w:sz="0" w:space="0" w:color="auto"/>
        <w:left w:val="none" w:sz="0" w:space="0" w:color="auto"/>
        <w:bottom w:val="none" w:sz="0" w:space="0" w:color="auto"/>
        <w:right w:val="none" w:sz="0" w:space="0" w:color="auto"/>
      </w:divBdr>
    </w:div>
    <w:div w:id="1145124648">
      <w:bodyDiv w:val="1"/>
      <w:marLeft w:val="0"/>
      <w:marRight w:val="0"/>
      <w:marTop w:val="0"/>
      <w:marBottom w:val="0"/>
      <w:divBdr>
        <w:top w:val="none" w:sz="0" w:space="0" w:color="auto"/>
        <w:left w:val="none" w:sz="0" w:space="0" w:color="auto"/>
        <w:bottom w:val="none" w:sz="0" w:space="0" w:color="auto"/>
        <w:right w:val="none" w:sz="0" w:space="0" w:color="auto"/>
      </w:divBdr>
    </w:div>
    <w:div w:id="1476989278">
      <w:bodyDiv w:val="1"/>
      <w:marLeft w:val="0"/>
      <w:marRight w:val="0"/>
      <w:marTop w:val="0"/>
      <w:marBottom w:val="0"/>
      <w:divBdr>
        <w:top w:val="none" w:sz="0" w:space="0" w:color="auto"/>
        <w:left w:val="none" w:sz="0" w:space="0" w:color="auto"/>
        <w:bottom w:val="none" w:sz="0" w:space="0" w:color="auto"/>
        <w:right w:val="none" w:sz="0" w:space="0" w:color="auto"/>
      </w:divBdr>
    </w:div>
    <w:div w:id="1479030765">
      <w:bodyDiv w:val="1"/>
      <w:marLeft w:val="0"/>
      <w:marRight w:val="0"/>
      <w:marTop w:val="0"/>
      <w:marBottom w:val="0"/>
      <w:divBdr>
        <w:top w:val="none" w:sz="0" w:space="0" w:color="auto"/>
        <w:left w:val="none" w:sz="0" w:space="0" w:color="auto"/>
        <w:bottom w:val="none" w:sz="0" w:space="0" w:color="auto"/>
        <w:right w:val="none" w:sz="0" w:space="0" w:color="auto"/>
      </w:divBdr>
    </w:div>
    <w:div w:id="1519344506">
      <w:bodyDiv w:val="1"/>
      <w:marLeft w:val="0"/>
      <w:marRight w:val="0"/>
      <w:marTop w:val="0"/>
      <w:marBottom w:val="0"/>
      <w:divBdr>
        <w:top w:val="none" w:sz="0" w:space="0" w:color="auto"/>
        <w:left w:val="none" w:sz="0" w:space="0" w:color="auto"/>
        <w:bottom w:val="none" w:sz="0" w:space="0" w:color="auto"/>
        <w:right w:val="none" w:sz="0" w:space="0" w:color="auto"/>
      </w:divBdr>
    </w:div>
    <w:div w:id="1619294073">
      <w:bodyDiv w:val="1"/>
      <w:marLeft w:val="0"/>
      <w:marRight w:val="0"/>
      <w:marTop w:val="0"/>
      <w:marBottom w:val="0"/>
      <w:divBdr>
        <w:top w:val="none" w:sz="0" w:space="0" w:color="auto"/>
        <w:left w:val="none" w:sz="0" w:space="0" w:color="auto"/>
        <w:bottom w:val="none" w:sz="0" w:space="0" w:color="auto"/>
        <w:right w:val="none" w:sz="0" w:space="0" w:color="auto"/>
      </w:divBdr>
    </w:div>
    <w:div w:id="20505227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image" Target="media/image7.emf"/><Relationship Id="rId18" Type="http://schemas.openxmlformats.org/officeDocument/2006/relationships/footer" Target="footer2.xm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1.emf"/><Relationship Id="rId12" Type="http://schemas.openxmlformats.org/officeDocument/2006/relationships/image" Target="media/image6.emf"/><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header" Target="header2.xml"/><Relationship Id="rId20" Type="http://schemas.openxmlformats.org/officeDocument/2006/relationships/footer" Target="foot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emf"/><Relationship Id="rId5" Type="http://schemas.openxmlformats.org/officeDocument/2006/relationships/footnotes" Target="footnotes.xml"/><Relationship Id="rId15" Type="http://schemas.openxmlformats.org/officeDocument/2006/relationships/header" Target="header1.xml"/><Relationship Id="rId10" Type="http://schemas.openxmlformats.org/officeDocument/2006/relationships/image" Target="media/image4.emf"/><Relationship Id="rId19"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image" Target="media/image3.emf"/><Relationship Id="rId14" Type="http://schemas.openxmlformats.org/officeDocument/2006/relationships/image" Target="media/image8.emf"/><Relationship Id="rId22"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ndersha\AppData\Roaming\Microsoft\Templates\Student%20report%20with%20photo.dotx" TargetMode="External"/></Relationships>
</file>

<file path=word/theme/theme1.xml><?xml version="1.0" encoding="utf-8"?>
<a:theme xmlns:a="http://schemas.openxmlformats.org/drawingml/2006/main" name="Theme1">
  <a:themeElements>
    <a:clrScheme name="Report">
      <a:dk1>
        <a:sysClr val="windowText" lastClr="000000"/>
      </a:dk1>
      <a:lt1>
        <a:sysClr val="window" lastClr="FFFFFF"/>
      </a:lt1>
      <a:dk2>
        <a:srgbClr val="4E5B6F"/>
      </a:dk2>
      <a:lt2>
        <a:srgbClr val="D6ECFF"/>
      </a:lt2>
      <a:accent1>
        <a:srgbClr val="00A0B8"/>
      </a:accent1>
      <a:accent2>
        <a:srgbClr val="EA157A"/>
      </a:accent2>
      <a:accent3>
        <a:srgbClr val="FEB80A"/>
      </a:accent3>
      <a:accent4>
        <a:srgbClr val="00ADDC"/>
      </a:accent4>
      <a:accent5>
        <a:srgbClr val="738AC8"/>
      </a:accent5>
      <a:accent6>
        <a:srgbClr val="1AB39F"/>
      </a:accent6>
      <a:hlink>
        <a:srgbClr val="EB8803"/>
      </a:hlink>
      <a:folHlink>
        <a:srgbClr val="5F7791"/>
      </a:folHlink>
    </a:clrScheme>
    <a:fontScheme name="Paper">
      <a:majorFont>
        <a:latin typeface="Constantia"/>
        <a:ea typeface=""/>
        <a:cs typeface=""/>
        <a:font script="Jpan" typeface="HG明朝E"/>
        <a:font script="Hang" typeface="궁서"/>
        <a:font script="Hans" typeface="华文新魏"/>
        <a:font script="Hant" typeface="標楷體"/>
        <a:font script="Arab" typeface="Times New Roman"/>
        <a:font script="Hebr" typeface="Times New Roman"/>
        <a:font script="Thai" typeface="Browalli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onstantia"/>
        <a:ea typeface=""/>
        <a:cs typeface=""/>
        <a:font script="Jpan" typeface="HG明朝E"/>
        <a:font script="Hang" typeface="궁서"/>
        <a:font script="Hans" typeface="华文新魏"/>
        <a:font script="Hant" typeface="標楷體"/>
        <a:font script="Arab" typeface="Times New Roman"/>
        <a:font script="Hebr" typeface="Times New Roman"/>
        <a:font script="Thai" typeface="Browalli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Student report with photo</Template>
  <TotalTime>0</TotalTime>
  <Pages>8</Pages>
  <Words>1871</Words>
  <Characters>10670</Characters>
  <Application>Microsoft Office Word</Application>
  <DocSecurity>0</DocSecurity>
  <Lines>88</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12516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Anderson, Hayden (Oji Fibre Solutions)</dc:creator>
  <cp:keywords/>
  <dc:description/>
  <cp:lastModifiedBy>Hayden Anderson</cp:lastModifiedBy>
  <cp:revision>2</cp:revision>
  <dcterms:created xsi:type="dcterms:W3CDTF">2019-06-08T23:45:00Z</dcterms:created>
  <dcterms:modified xsi:type="dcterms:W3CDTF">2019-06-08T23:45:00Z</dcterms:modified>
</cp:coreProperties>
</file>